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C127" w14:textId="77777777" w:rsidR="00EA4133" w:rsidRPr="0001060A" w:rsidRDefault="00EA4133">
      <w:pPr>
        <w:pStyle w:val="Title"/>
        <w:spacing w:before="0"/>
        <w:rPr>
          <w:sz w:val="28"/>
          <w:lang w:val="en-CA"/>
        </w:rPr>
      </w:pPr>
      <w:r w:rsidRPr="0001060A">
        <w:rPr>
          <w:sz w:val="28"/>
          <w:lang w:val="en-CA"/>
        </w:rPr>
        <w:t>FORM 9</w:t>
      </w:r>
    </w:p>
    <w:p w14:paraId="600DC128"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600DC129"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600DC12A"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600DC12D" w14:textId="77777777" w:rsidTr="00840B45">
        <w:tc>
          <w:tcPr>
            <w:tcW w:w="6487" w:type="dxa"/>
          </w:tcPr>
          <w:p w14:paraId="600DC12B" w14:textId="60CF6023" w:rsidR="00840B45" w:rsidRDefault="00FC3775" w:rsidP="00FC3775">
            <w:pPr>
              <w:pStyle w:val="BodyText"/>
              <w:rPr>
                <w:rFonts w:ascii="Arial" w:hAnsi="Arial"/>
                <w:lang w:val="en-CA"/>
              </w:rPr>
            </w:pPr>
            <w:r>
              <w:rPr>
                <w:rFonts w:ascii="Arial" w:hAnsi="Arial"/>
                <w:b/>
                <w:bCs/>
                <w:lang w:val="en-CA"/>
              </w:rPr>
              <w:t xml:space="preserve">International Battery Metals Ltd </w:t>
            </w:r>
            <w:r w:rsidR="00840B45">
              <w:rPr>
                <w:rFonts w:ascii="Arial" w:hAnsi="Arial"/>
                <w:lang w:val="en-CA"/>
              </w:rPr>
              <w:t xml:space="preserve">(the “Issuer”).  </w:t>
            </w:r>
          </w:p>
        </w:tc>
        <w:tc>
          <w:tcPr>
            <w:tcW w:w="3089" w:type="dxa"/>
          </w:tcPr>
          <w:p w14:paraId="600DC12C" w14:textId="136ED46C" w:rsidR="00840B45" w:rsidRDefault="00FC3775">
            <w:pPr>
              <w:pStyle w:val="BodyText"/>
              <w:rPr>
                <w:rFonts w:ascii="Arial" w:hAnsi="Arial"/>
                <w:lang w:val="en-CA"/>
              </w:rPr>
            </w:pPr>
            <w:r>
              <w:rPr>
                <w:rFonts w:ascii="Arial" w:hAnsi="Arial"/>
                <w:lang w:val="en-CA"/>
              </w:rPr>
              <w:t>I</w:t>
            </w:r>
            <w:r w:rsidRPr="00FC3775">
              <w:rPr>
                <w:rFonts w:ascii="Arial" w:hAnsi="Arial"/>
                <w:b/>
                <w:bCs/>
                <w:lang w:val="en-CA"/>
              </w:rPr>
              <w:t>BAT</w:t>
            </w:r>
          </w:p>
        </w:tc>
      </w:tr>
    </w:tbl>
    <w:p w14:paraId="600DC12E" w14:textId="31900D5F" w:rsidR="00EA4133" w:rsidRPr="00FC3775" w:rsidRDefault="00EA4133" w:rsidP="00840B45">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63007E">
        <w:rPr>
          <w:rFonts w:ascii="Arial" w:hAnsi="Arial"/>
          <w:b/>
          <w:bCs/>
          <w:u w:val="single"/>
          <w:lang w:val="en-CA"/>
        </w:rPr>
        <w:t>April 2</w:t>
      </w:r>
      <w:r w:rsidR="00AC6DD0">
        <w:rPr>
          <w:rFonts w:ascii="Arial" w:hAnsi="Arial"/>
          <w:b/>
          <w:bCs/>
          <w:u w:val="single"/>
          <w:lang w:val="en-CA"/>
        </w:rPr>
        <w:t>6</w:t>
      </w:r>
      <w:r w:rsidR="0063007E">
        <w:rPr>
          <w:rFonts w:ascii="Arial" w:hAnsi="Arial"/>
          <w:b/>
          <w:bCs/>
          <w:u w:val="single"/>
          <w:lang w:val="en-CA"/>
        </w:rPr>
        <w:t>, 202</w:t>
      </w:r>
      <w:r w:rsidR="00AC6DD0">
        <w:rPr>
          <w:rFonts w:ascii="Arial" w:hAnsi="Arial"/>
          <w:b/>
          <w:bCs/>
          <w:u w:val="single"/>
          <w:lang w:val="en-CA"/>
        </w:rPr>
        <w:t>4</w:t>
      </w:r>
      <w:r w:rsidR="00FC3775">
        <w:rPr>
          <w:rFonts w:ascii="Arial" w:hAnsi="Arial"/>
          <w:lang w:val="en-CA"/>
        </w:rPr>
        <w:t xml:space="preserve"> </w:t>
      </w:r>
      <w:r w:rsidRPr="00FC3775">
        <w:rPr>
          <w:rFonts w:ascii="Arial" w:hAnsi="Arial"/>
          <w:lang w:val="en-CA"/>
        </w:rPr>
        <w:t>Is</w:t>
      </w:r>
      <w:r>
        <w:rPr>
          <w:rFonts w:ascii="Arial" w:hAnsi="Arial"/>
          <w:lang w:val="en-CA"/>
        </w:rPr>
        <w:t xml:space="preserve"> this an updating or amending Notice:</w:t>
      </w:r>
      <w:r>
        <w:rPr>
          <w:rFonts w:ascii="Arial" w:hAnsi="Arial"/>
          <w:lang w:val="en-CA"/>
        </w:rPr>
        <w:tab/>
        <w:t>Yes</w:t>
      </w:r>
      <w:r>
        <w:rPr>
          <w:rFonts w:ascii="Arial" w:hAnsi="Arial"/>
          <w:lang w:val="en-CA"/>
        </w:rPr>
        <w:tab/>
      </w:r>
      <w:r>
        <w:rPr>
          <w:rFonts w:ascii="Arial" w:hAnsi="Arial"/>
          <w:lang w:val="en-CA"/>
        </w:rPr>
        <w:tab/>
      </w:r>
      <w:r w:rsidR="00676E43">
        <w:rPr>
          <w:rFonts w:ascii="Arial" w:hAnsi="Arial"/>
          <w:lang w:val="en-CA"/>
        </w:rPr>
        <w:t>X</w:t>
      </w:r>
      <w:r>
        <w:rPr>
          <w:rFonts w:ascii="Arial" w:hAnsi="Arial"/>
          <w:lang w:val="en-CA"/>
        </w:rPr>
        <w:t>No</w:t>
      </w:r>
      <w:r>
        <w:rPr>
          <w:rFonts w:ascii="Arial" w:hAnsi="Arial"/>
          <w:sz w:val="32"/>
          <w:lang w:val="en-CA"/>
        </w:rPr>
        <w:tab/>
      </w:r>
    </w:p>
    <w:p w14:paraId="600DC12F" w14:textId="672DBD9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w:t>
      </w:r>
      <w:r w:rsidRPr="000B0177">
        <w:rPr>
          <w:rFonts w:ascii="Arial" w:hAnsi="Arial"/>
          <w:lang w:val="en-CA"/>
        </w:rPr>
        <w:t xml:space="preserve">prior Notices: </w:t>
      </w:r>
      <w:r w:rsidR="00676E43">
        <w:rPr>
          <w:rFonts w:ascii="Arial" w:hAnsi="Arial"/>
          <w:b/>
          <w:bCs/>
          <w:u w:val="single"/>
          <w:lang w:val="en-CA"/>
        </w:rPr>
        <w:t>N/A</w:t>
      </w:r>
    </w:p>
    <w:p w14:paraId="25C50040" w14:textId="0D25BBBF" w:rsidR="00121387" w:rsidRPr="000B0177" w:rsidRDefault="00EA4133" w:rsidP="00121387">
      <w:pPr>
        <w:pStyle w:val="BodyText"/>
        <w:tabs>
          <w:tab w:val="left" w:pos="9180"/>
        </w:tabs>
        <w:spacing w:before="0" w:after="120"/>
        <w:rPr>
          <w:rFonts w:ascii="Arial" w:hAnsi="Arial"/>
          <w:b/>
          <w:bCs/>
          <w:u w:val="single"/>
          <w:lang w:val="en-CA"/>
        </w:rPr>
      </w:pPr>
      <w:r>
        <w:rPr>
          <w:rFonts w:ascii="Arial" w:hAnsi="Arial"/>
          <w:lang w:val="en-CA"/>
        </w:rPr>
        <w:t xml:space="preserve">Issued and Outstanding Securities of Issuer Prior to Issuance:  </w:t>
      </w:r>
      <w:r w:rsidR="00904F73" w:rsidRPr="00904F73">
        <w:rPr>
          <w:rFonts w:ascii="Arial" w:hAnsi="Arial"/>
          <w:b/>
          <w:bCs/>
          <w:u w:val="single"/>
          <w:lang w:val="en-CA"/>
        </w:rPr>
        <w:t>211,381,450</w:t>
      </w:r>
    </w:p>
    <w:p w14:paraId="600DC131"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600DC132" w14:textId="761A819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B0259E">
        <w:rPr>
          <w:rFonts w:ascii="Arial" w:hAnsi="Arial"/>
          <w:b/>
          <w:bCs/>
          <w:u w:val="single"/>
          <w:lang w:val="en-CA"/>
        </w:rPr>
        <w:t xml:space="preserve">April </w:t>
      </w:r>
      <w:r w:rsidR="00B0259E" w:rsidRPr="00B0259E">
        <w:rPr>
          <w:rFonts w:ascii="Arial" w:hAnsi="Arial"/>
          <w:b/>
          <w:bCs/>
          <w:u w:val="single"/>
          <w:lang w:val="en-CA"/>
        </w:rPr>
        <w:t>26, 2024</w:t>
      </w:r>
      <w:r w:rsidR="00B0259E">
        <w:rPr>
          <w:rFonts w:ascii="Arial" w:hAnsi="Arial"/>
          <w:b/>
          <w:bCs/>
          <w:lang w:val="en-CA"/>
        </w:rPr>
        <w:t xml:space="preserve"> </w:t>
      </w:r>
      <w:r w:rsidR="00840B45" w:rsidRPr="00B0259E">
        <w:rPr>
          <w:rFonts w:ascii="Arial" w:hAnsi="Arial"/>
          <w:lang w:val="en-CA"/>
        </w:rPr>
        <w:t>or</w:t>
      </w:r>
    </w:p>
    <w:p w14:paraId="600DC133" w14:textId="71E98E3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p>
    <w:p w14:paraId="600DC134" w14:textId="416BD44E"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sidRPr="000906F4">
        <w:rPr>
          <w:rFonts w:ascii="Arial" w:hAnsi="Arial"/>
          <w:lang w:val="en-CA"/>
        </w:rPr>
        <w:t>r</w:t>
      </w:r>
      <w:r w:rsidRPr="000906F4">
        <w:rPr>
          <w:rFonts w:ascii="Arial" w:hAnsi="Arial"/>
          <w:lang w:val="en-CA"/>
        </w:rPr>
        <w:t xml:space="preserve">elease: </w:t>
      </w:r>
      <w:r w:rsidR="008D3174">
        <w:rPr>
          <w:rFonts w:ascii="Arial" w:hAnsi="Arial"/>
          <w:lang w:val="en-CA"/>
        </w:rPr>
        <w:t xml:space="preserve"> </w:t>
      </w:r>
      <w:r w:rsidR="00840B45" w:rsidRPr="000906F4">
        <w:rPr>
          <w:rFonts w:ascii="Arial" w:hAnsi="Arial"/>
          <w:lang w:val="en-CA"/>
        </w:rPr>
        <w:t>or</w:t>
      </w:r>
    </w:p>
    <w:p w14:paraId="600DC135" w14:textId="7BF3447D"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sidR="008D3174" w:rsidRPr="008D3174">
        <w:rPr>
          <w:rFonts w:ascii="Arial" w:hAnsi="Arial"/>
          <w:b/>
          <w:bCs/>
          <w:u w:val="single"/>
          <w:lang w:val="en-CA"/>
        </w:rPr>
        <w:t>CAD$</w:t>
      </w:r>
      <w:r w:rsidR="00904F73">
        <w:rPr>
          <w:rFonts w:ascii="Arial" w:hAnsi="Arial"/>
          <w:b/>
          <w:bCs/>
          <w:u w:val="single"/>
          <w:lang w:val="en-CA"/>
        </w:rPr>
        <w:t>0.</w:t>
      </w:r>
      <w:r w:rsidR="00B0259E">
        <w:rPr>
          <w:rFonts w:ascii="Arial" w:hAnsi="Arial"/>
          <w:b/>
          <w:bCs/>
          <w:u w:val="single"/>
          <w:lang w:val="en-CA"/>
        </w:rPr>
        <w:t>94</w:t>
      </w:r>
    </w:p>
    <w:p w14:paraId="600DC136"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7BB2F70" w14:textId="77777777" w:rsidR="00F82528" w:rsidRDefault="00840B45" w:rsidP="00904F73">
      <w:pPr>
        <w:pStyle w:val="BodyText"/>
        <w:tabs>
          <w:tab w:val="left" w:pos="9180"/>
        </w:tabs>
        <w:spacing w:before="0" w:after="120"/>
        <w:ind w:left="450" w:hanging="450"/>
        <w:rPr>
          <w:rFonts w:ascii="Arial" w:hAnsi="Arial"/>
          <w:lang w:val="en-CA"/>
        </w:rPr>
      </w:pPr>
      <w:r>
        <w:rPr>
          <w:rFonts w:ascii="Arial" w:hAnsi="Arial"/>
          <w:lang w:val="en-CA"/>
        </w:rPr>
        <w:t xml:space="preserve">Number of securities to be issued: </w:t>
      </w:r>
    </w:p>
    <w:p w14:paraId="600DC137" w14:textId="3095142D" w:rsidR="00840B45" w:rsidRDefault="00904F73" w:rsidP="00F82528">
      <w:pPr>
        <w:pStyle w:val="BodyText"/>
        <w:numPr>
          <w:ilvl w:val="0"/>
          <w:numId w:val="22"/>
        </w:numPr>
        <w:tabs>
          <w:tab w:val="left" w:pos="9180"/>
        </w:tabs>
        <w:spacing w:before="0" w:after="120"/>
        <w:rPr>
          <w:rFonts w:ascii="Arial" w:hAnsi="Arial"/>
          <w:b/>
          <w:bCs/>
          <w:u w:val="single"/>
          <w:lang w:val="en-CA"/>
        </w:rPr>
      </w:pPr>
      <w:r w:rsidRPr="00904F73">
        <w:rPr>
          <w:rFonts w:ascii="Arial" w:hAnsi="Arial"/>
          <w:b/>
          <w:bCs/>
          <w:u w:val="single"/>
          <w:lang w:val="en-CA"/>
        </w:rPr>
        <w:t xml:space="preserve">up to </w:t>
      </w:r>
      <w:r w:rsidR="00B0259E">
        <w:rPr>
          <w:rFonts w:ascii="Arial" w:hAnsi="Arial"/>
          <w:b/>
          <w:bCs/>
          <w:u w:val="single"/>
          <w:lang w:val="en-CA"/>
        </w:rPr>
        <w:t xml:space="preserve">14,647,900 </w:t>
      </w:r>
      <w:r w:rsidRPr="00904F73">
        <w:rPr>
          <w:rFonts w:ascii="Arial" w:hAnsi="Arial"/>
          <w:b/>
          <w:bCs/>
          <w:u w:val="single"/>
          <w:lang w:val="en-CA"/>
        </w:rPr>
        <w:t>units</w:t>
      </w:r>
      <w:r w:rsidR="000C25DE" w:rsidRPr="00904F73">
        <w:rPr>
          <w:rFonts w:ascii="Arial" w:hAnsi="Arial"/>
          <w:b/>
          <w:bCs/>
          <w:u w:val="single"/>
          <w:lang w:val="en-CA"/>
        </w:rPr>
        <w:t xml:space="preserve"> (each unit comprised of one common share and one common share purchase warrant exercisable for a two year period at an exercise price of CAD$</w:t>
      </w:r>
      <w:r w:rsidRPr="00904F73">
        <w:rPr>
          <w:rFonts w:ascii="Arial" w:hAnsi="Arial"/>
          <w:b/>
          <w:bCs/>
          <w:u w:val="single"/>
          <w:lang w:val="en-CA"/>
        </w:rPr>
        <w:t>0.</w:t>
      </w:r>
      <w:r w:rsidR="00B0259E">
        <w:rPr>
          <w:rFonts w:ascii="Arial" w:hAnsi="Arial"/>
          <w:b/>
          <w:bCs/>
          <w:u w:val="single"/>
          <w:lang w:val="en-CA"/>
        </w:rPr>
        <w:t>9579</w:t>
      </w:r>
      <w:r w:rsidR="000C25DE" w:rsidRPr="00904F73">
        <w:rPr>
          <w:rFonts w:ascii="Arial" w:hAnsi="Arial"/>
          <w:b/>
          <w:bCs/>
          <w:u w:val="single"/>
          <w:lang w:val="en-CA"/>
        </w:rPr>
        <w:t>)</w:t>
      </w:r>
      <w:r w:rsidR="00F82528">
        <w:rPr>
          <w:rFonts w:ascii="Arial" w:hAnsi="Arial"/>
          <w:b/>
          <w:bCs/>
          <w:u w:val="single"/>
          <w:lang w:val="en-CA"/>
        </w:rPr>
        <w:t>; and</w:t>
      </w:r>
    </w:p>
    <w:p w14:paraId="5D451E90" w14:textId="3ABDE878" w:rsidR="00F82528" w:rsidRPr="00904F73" w:rsidRDefault="00F82528" w:rsidP="00F82528">
      <w:pPr>
        <w:pStyle w:val="BodyText"/>
        <w:numPr>
          <w:ilvl w:val="0"/>
          <w:numId w:val="22"/>
        </w:numPr>
        <w:tabs>
          <w:tab w:val="left" w:pos="9180"/>
        </w:tabs>
        <w:spacing w:before="0" w:after="120"/>
        <w:rPr>
          <w:rFonts w:ascii="Arial" w:hAnsi="Arial"/>
          <w:b/>
          <w:bCs/>
          <w:u w:val="single"/>
          <w:lang w:val="en-CA"/>
        </w:rPr>
      </w:pPr>
      <w:r>
        <w:rPr>
          <w:rFonts w:ascii="Arial" w:hAnsi="Arial"/>
          <w:b/>
          <w:bCs/>
          <w:u w:val="single"/>
          <w:lang w:val="en-CA"/>
        </w:rPr>
        <w:t xml:space="preserve">up to </w:t>
      </w:r>
      <w:r w:rsidR="0094183A">
        <w:rPr>
          <w:rFonts w:ascii="Arial" w:hAnsi="Arial"/>
          <w:b/>
          <w:bCs/>
          <w:u w:val="single"/>
          <w:lang w:val="en-CA"/>
        </w:rPr>
        <w:t xml:space="preserve">an additional </w:t>
      </w:r>
      <w:r w:rsidR="00B0259E">
        <w:rPr>
          <w:rFonts w:ascii="Arial" w:hAnsi="Arial"/>
          <w:b/>
          <w:bCs/>
          <w:u w:val="single"/>
          <w:lang w:val="en-CA"/>
        </w:rPr>
        <w:t>375,129</w:t>
      </w:r>
      <w:r>
        <w:rPr>
          <w:rFonts w:ascii="Arial" w:hAnsi="Arial"/>
          <w:b/>
          <w:bCs/>
          <w:u w:val="single"/>
          <w:lang w:val="en-CA"/>
        </w:rPr>
        <w:t xml:space="preserve"> </w:t>
      </w:r>
      <w:r w:rsidR="00540B52">
        <w:rPr>
          <w:rFonts w:ascii="Arial" w:hAnsi="Arial"/>
          <w:b/>
          <w:bCs/>
          <w:u w:val="single"/>
          <w:lang w:val="en-CA"/>
        </w:rPr>
        <w:t>common shares</w:t>
      </w:r>
      <w:r>
        <w:rPr>
          <w:rFonts w:ascii="Arial" w:hAnsi="Arial"/>
          <w:b/>
          <w:bCs/>
          <w:u w:val="single"/>
          <w:lang w:val="en-CA"/>
        </w:rPr>
        <w:t>.</w:t>
      </w:r>
    </w:p>
    <w:p w14:paraId="600DC138" w14:textId="7C8570D2" w:rsidR="00840B45" w:rsidRPr="000B0177" w:rsidRDefault="00840B45" w:rsidP="00C10A32">
      <w:pPr>
        <w:pStyle w:val="BodyText"/>
        <w:tabs>
          <w:tab w:val="left" w:pos="9180"/>
        </w:tabs>
        <w:spacing w:before="0" w:after="120"/>
        <w:rPr>
          <w:rFonts w:ascii="Arial" w:hAnsi="Arial"/>
          <w:b/>
          <w:bCs/>
          <w:u w:val="single"/>
          <w:lang w:val="en-CA"/>
        </w:rPr>
      </w:pPr>
      <w:r w:rsidRPr="000906F4">
        <w:rPr>
          <w:rFonts w:ascii="Arial" w:hAnsi="Arial"/>
          <w:lang w:val="en-CA"/>
        </w:rPr>
        <w:t xml:space="preserve">Issued and outstanding securities following issuance: </w:t>
      </w:r>
      <w:r w:rsidR="00B0259E">
        <w:rPr>
          <w:rFonts w:ascii="Arial" w:hAnsi="Arial"/>
          <w:b/>
          <w:bCs/>
          <w:u w:val="single"/>
          <w:lang w:val="en-CA"/>
        </w:rPr>
        <w:t>226,404,479</w:t>
      </w:r>
    </w:p>
    <w:p w14:paraId="600DC13A"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00DC13B"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600DC13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600DC13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00DC13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600DC13F"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00DC140" w14:textId="7618EB9A"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p>
    <w:p w14:paraId="600DC141" w14:textId="77777777" w:rsidR="00A90670" w:rsidRDefault="00544BCF">
      <w:pPr>
        <w:pStyle w:val="BodyText"/>
        <w:spacing w:before="0" w:after="240"/>
        <w:rPr>
          <w:rFonts w:ascii="Arial" w:hAnsi="Arial"/>
          <w:b/>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p>
    <w:p w14:paraId="600DC142"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00DC147" w14:textId="77777777" w:rsidTr="0064019D">
        <w:tc>
          <w:tcPr>
            <w:tcW w:w="3652" w:type="dxa"/>
          </w:tcPr>
          <w:p w14:paraId="600DC143"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00DC144"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600DC145" w14:textId="717FB604" w:rsidR="00C536D3" w:rsidRPr="00C536D3" w:rsidRDefault="00C536D3" w:rsidP="00C536D3">
            <w:pPr>
              <w:pStyle w:val="BodyText"/>
              <w:rPr>
                <w:rFonts w:ascii="Arial" w:hAnsi="Arial"/>
                <w:lang w:val="en-CA"/>
              </w:rPr>
            </w:pPr>
            <w:r w:rsidRPr="00C536D3">
              <w:rPr>
                <w:rFonts w:ascii="Arial" w:hAnsi="Arial"/>
                <w:lang w:val="en-CA"/>
              </w:rPr>
              <w:t>Price per Security</w:t>
            </w:r>
            <w:r w:rsidR="002009C3">
              <w:rPr>
                <w:rFonts w:ascii="Arial" w:hAnsi="Arial"/>
                <w:vertAlign w:val="superscript"/>
                <w:lang w:val="en-CA"/>
              </w:rPr>
              <w:t>1</w:t>
            </w:r>
          </w:p>
        </w:tc>
        <w:tc>
          <w:tcPr>
            <w:tcW w:w="2394" w:type="dxa"/>
          </w:tcPr>
          <w:p w14:paraId="600DC146" w14:textId="2B7C713F"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904F73" w:rsidRPr="00C536D3" w14:paraId="600DC151" w14:textId="77777777" w:rsidTr="00904F73">
        <w:trPr>
          <w:trHeight w:val="692"/>
        </w:trPr>
        <w:tc>
          <w:tcPr>
            <w:tcW w:w="9576" w:type="dxa"/>
            <w:gridSpan w:val="4"/>
            <w:vAlign w:val="center"/>
          </w:tcPr>
          <w:p w14:paraId="600DC150" w14:textId="1D3C0F9B" w:rsidR="00904F73" w:rsidRPr="00904F73" w:rsidRDefault="00904F73" w:rsidP="00904F73">
            <w:pPr>
              <w:pStyle w:val="BodyText"/>
              <w:spacing w:before="0"/>
              <w:jc w:val="center"/>
              <w:rPr>
                <w:rFonts w:ascii="Arial" w:hAnsi="Arial"/>
                <w:b/>
                <w:bCs/>
                <w:lang w:val="en-CA"/>
              </w:rPr>
            </w:pPr>
            <w:r>
              <w:rPr>
                <w:rFonts w:ascii="Arial" w:hAnsi="Arial"/>
                <w:b/>
                <w:bCs/>
                <w:lang w:val="en-CA"/>
              </w:rPr>
              <w:t>TO BE PROVIDED ON CLOSING</w:t>
            </w:r>
          </w:p>
        </w:tc>
      </w:tr>
      <w:tr w:rsidR="00AF2DD4" w:rsidRPr="00C536D3" w14:paraId="600DC156" w14:textId="77777777" w:rsidTr="0064019D">
        <w:tc>
          <w:tcPr>
            <w:tcW w:w="3652" w:type="dxa"/>
          </w:tcPr>
          <w:p w14:paraId="600DC152" w14:textId="77777777" w:rsidR="00AF2DD4" w:rsidRPr="00C536D3" w:rsidRDefault="00AF2DD4" w:rsidP="00AF2DD4">
            <w:pPr>
              <w:pStyle w:val="BodyText"/>
              <w:rPr>
                <w:rFonts w:ascii="Arial" w:hAnsi="Arial"/>
                <w:lang w:val="en-CA"/>
              </w:rPr>
            </w:pPr>
            <w:r w:rsidRPr="00C536D3">
              <w:rPr>
                <w:rFonts w:ascii="Arial" w:hAnsi="Arial"/>
                <w:lang w:val="en-CA"/>
              </w:rPr>
              <w:t>Total number of purchasers:</w:t>
            </w:r>
          </w:p>
        </w:tc>
        <w:tc>
          <w:tcPr>
            <w:tcW w:w="1701" w:type="dxa"/>
          </w:tcPr>
          <w:p w14:paraId="600DC153" w14:textId="242F697A" w:rsidR="00AF2DD4" w:rsidRPr="00C536D3" w:rsidRDefault="00AF2DD4" w:rsidP="00AF2DD4">
            <w:pPr>
              <w:pStyle w:val="BodyText"/>
              <w:rPr>
                <w:rFonts w:ascii="Arial" w:hAnsi="Arial"/>
                <w:lang w:val="en-CA"/>
              </w:rPr>
            </w:pPr>
          </w:p>
        </w:tc>
        <w:tc>
          <w:tcPr>
            <w:tcW w:w="1829" w:type="dxa"/>
          </w:tcPr>
          <w:p w14:paraId="600DC154" w14:textId="77777777" w:rsidR="00AF2DD4" w:rsidRPr="00C536D3" w:rsidRDefault="00AF2DD4" w:rsidP="00AF2DD4">
            <w:pPr>
              <w:pStyle w:val="BodyText"/>
              <w:rPr>
                <w:rFonts w:ascii="Arial" w:hAnsi="Arial"/>
                <w:lang w:val="en-CA"/>
              </w:rPr>
            </w:pPr>
          </w:p>
        </w:tc>
        <w:tc>
          <w:tcPr>
            <w:tcW w:w="2394" w:type="dxa"/>
          </w:tcPr>
          <w:p w14:paraId="600DC155" w14:textId="77777777" w:rsidR="00AF2DD4" w:rsidRPr="00C536D3" w:rsidRDefault="00AF2DD4" w:rsidP="00AF2DD4">
            <w:pPr>
              <w:pStyle w:val="BodyText"/>
              <w:rPr>
                <w:rFonts w:ascii="Arial" w:hAnsi="Arial"/>
                <w:lang w:val="en-CA"/>
              </w:rPr>
            </w:pPr>
          </w:p>
        </w:tc>
      </w:tr>
      <w:tr w:rsidR="00AF2DD4" w:rsidRPr="00C536D3" w14:paraId="600DC159" w14:textId="77777777" w:rsidTr="0064019D">
        <w:tc>
          <w:tcPr>
            <w:tcW w:w="7182" w:type="dxa"/>
            <w:gridSpan w:val="3"/>
          </w:tcPr>
          <w:p w14:paraId="600DC157" w14:textId="77777777" w:rsidR="00AF2DD4" w:rsidRPr="00C536D3" w:rsidRDefault="00AF2DD4" w:rsidP="00AF2DD4">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600DC158" w14:textId="49EE41B0" w:rsidR="00AF2DD4" w:rsidRPr="00C536D3" w:rsidRDefault="00AF2DD4" w:rsidP="00AF2DD4">
            <w:pPr>
              <w:pStyle w:val="BodyText"/>
              <w:rPr>
                <w:rFonts w:ascii="Arial" w:hAnsi="Arial"/>
                <w:lang w:val="en-CA"/>
              </w:rPr>
            </w:pPr>
          </w:p>
        </w:tc>
      </w:tr>
    </w:tbl>
    <w:p w14:paraId="600DC15B"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600DC15C" w14:textId="77777777" w:rsidR="00544BCF" w:rsidRDefault="00544BCF">
      <w:pPr>
        <w:pStyle w:val="BodyText"/>
        <w:spacing w:before="0" w:after="240"/>
        <w:rPr>
          <w:rFonts w:ascii="Arial" w:hAnsi="Arial"/>
          <w:b/>
          <w:lang w:val="en-CA"/>
        </w:rPr>
      </w:pPr>
    </w:p>
    <w:tbl>
      <w:tblPr>
        <w:tblW w:w="10926" w:type="dxa"/>
        <w:tblInd w:w="-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64"/>
        <w:gridCol w:w="1376"/>
        <w:gridCol w:w="1192"/>
        <w:gridCol w:w="1376"/>
        <w:gridCol w:w="1376"/>
        <w:gridCol w:w="1566"/>
        <w:gridCol w:w="1080"/>
        <w:gridCol w:w="1296"/>
      </w:tblGrid>
      <w:tr w:rsidR="00EA4133" w14:paraId="600DC170" w14:textId="77777777" w:rsidTr="002009C3">
        <w:trPr>
          <w:trHeight w:val="1860"/>
        </w:trPr>
        <w:tc>
          <w:tcPr>
            <w:tcW w:w="1664" w:type="dxa"/>
          </w:tcPr>
          <w:p w14:paraId="600DC15D" w14:textId="77777777" w:rsidR="00EA4133" w:rsidRDefault="00EA4133">
            <w:pPr>
              <w:pStyle w:val="BodyText"/>
              <w:spacing w:before="0" w:line="280" w:lineRule="exact"/>
              <w:jc w:val="center"/>
              <w:rPr>
                <w:rFonts w:ascii="Arial" w:hAnsi="Arial"/>
                <w:b/>
                <w:sz w:val="20"/>
                <w:lang w:val="en-CA"/>
              </w:rPr>
            </w:pPr>
          </w:p>
          <w:p w14:paraId="600DC15E"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600DC15F" w14:textId="77777777" w:rsidR="00EA4133" w:rsidRDefault="00EA4133">
            <w:pPr>
              <w:pStyle w:val="BodyText"/>
              <w:spacing w:before="0" w:line="280" w:lineRule="exact"/>
              <w:jc w:val="center"/>
              <w:rPr>
                <w:rFonts w:ascii="Arial" w:hAnsi="Arial"/>
                <w:b/>
                <w:sz w:val="20"/>
                <w:lang w:val="en-CA"/>
              </w:rPr>
            </w:pPr>
          </w:p>
          <w:p w14:paraId="600DC160"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600DC161" w14:textId="77777777" w:rsidR="00EA4133" w:rsidRDefault="00EA4133">
            <w:pPr>
              <w:pStyle w:val="BodyText"/>
              <w:spacing w:before="0" w:line="280" w:lineRule="exact"/>
              <w:jc w:val="center"/>
              <w:rPr>
                <w:rFonts w:ascii="Arial" w:hAnsi="Arial"/>
                <w:b/>
                <w:sz w:val="20"/>
                <w:lang w:val="en-CA"/>
              </w:rPr>
            </w:pPr>
          </w:p>
          <w:p w14:paraId="600DC16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600DC163" w14:textId="77777777" w:rsidR="00EA4133" w:rsidRDefault="00EA4133">
            <w:pPr>
              <w:pStyle w:val="BodyText"/>
              <w:spacing w:before="0" w:line="280" w:lineRule="exact"/>
              <w:jc w:val="center"/>
              <w:rPr>
                <w:rFonts w:ascii="Arial" w:hAnsi="Arial"/>
                <w:b/>
                <w:sz w:val="20"/>
                <w:lang w:val="en-CA"/>
              </w:rPr>
            </w:pPr>
          </w:p>
          <w:p w14:paraId="600DC16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600DC16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00DC16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600DC167"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600DC168" w14:textId="77777777" w:rsidR="00EA4133" w:rsidRDefault="00EA4133">
            <w:pPr>
              <w:pStyle w:val="BodyText"/>
              <w:spacing w:before="0" w:line="280" w:lineRule="exact"/>
              <w:jc w:val="center"/>
              <w:rPr>
                <w:rFonts w:ascii="Arial" w:hAnsi="Arial"/>
                <w:b/>
                <w:sz w:val="20"/>
                <w:lang w:val="en-CA"/>
              </w:rPr>
            </w:pPr>
          </w:p>
          <w:p w14:paraId="600DC16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566" w:type="dxa"/>
          </w:tcPr>
          <w:p w14:paraId="600DC16A" w14:textId="77777777" w:rsidR="00C536D3" w:rsidRDefault="00C536D3" w:rsidP="00C536D3">
            <w:pPr>
              <w:pStyle w:val="BodyText"/>
              <w:spacing w:before="0" w:line="280" w:lineRule="exact"/>
              <w:jc w:val="center"/>
              <w:rPr>
                <w:rFonts w:ascii="Arial" w:hAnsi="Arial"/>
                <w:b/>
                <w:sz w:val="20"/>
              </w:rPr>
            </w:pPr>
          </w:p>
          <w:p w14:paraId="600DC16B" w14:textId="655D0423"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EE7870">
              <w:rPr>
                <w:rFonts w:ascii="Arial" w:hAnsi="Arial"/>
                <w:b/>
                <w:sz w:val="20"/>
              </w:rPr>
              <w:t xml:space="preserve"> </w:t>
            </w:r>
            <w:r>
              <w:rPr>
                <w:rFonts w:ascii="Arial" w:hAnsi="Arial"/>
                <w:b/>
                <w:sz w:val="20"/>
              </w:rPr>
              <w:t>Securities</w:t>
            </w:r>
            <w:r w:rsidR="00EE7870">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080" w:type="dxa"/>
          </w:tcPr>
          <w:p w14:paraId="600DC16C" w14:textId="77777777" w:rsidR="00EA4133" w:rsidRDefault="00EA4133">
            <w:pPr>
              <w:pStyle w:val="BodyText"/>
              <w:spacing w:before="0" w:line="280" w:lineRule="exact"/>
              <w:jc w:val="center"/>
              <w:rPr>
                <w:rFonts w:ascii="Arial" w:hAnsi="Arial"/>
                <w:b/>
                <w:sz w:val="20"/>
                <w:lang w:val="en-CA"/>
              </w:rPr>
            </w:pPr>
          </w:p>
          <w:p w14:paraId="600DC16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296" w:type="dxa"/>
          </w:tcPr>
          <w:p w14:paraId="600DC16E" w14:textId="77777777" w:rsidR="00EA4133" w:rsidRDefault="00EA4133">
            <w:pPr>
              <w:pStyle w:val="BodyText"/>
              <w:spacing w:before="0" w:line="280" w:lineRule="exact"/>
              <w:jc w:val="center"/>
              <w:rPr>
                <w:rFonts w:ascii="Arial" w:hAnsi="Arial"/>
                <w:b/>
                <w:color w:val="000000"/>
                <w:sz w:val="20"/>
                <w:lang w:val="en-CA"/>
              </w:rPr>
            </w:pPr>
          </w:p>
          <w:p w14:paraId="600DC16F"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904F73" w14:paraId="600DC179" w14:textId="77777777" w:rsidTr="00904F73">
        <w:trPr>
          <w:trHeight w:val="485"/>
        </w:trPr>
        <w:tc>
          <w:tcPr>
            <w:tcW w:w="10926" w:type="dxa"/>
            <w:gridSpan w:val="8"/>
            <w:vAlign w:val="center"/>
          </w:tcPr>
          <w:p w14:paraId="600DC178" w14:textId="15E3AF0C" w:rsidR="00904F73" w:rsidRPr="00A979F2" w:rsidRDefault="00904F73" w:rsidP="00904F73">
            <w:pPr>
              <w:pStyle w:val="BodyText"/>
              <w:spacing w:before="0" w:line="280" w:lineRule="exact"/>
              <w:jc w:val="center"/>
              <w:rPr>
                <w:bCs/>
                <w:color w:val="000000"/>
                <w:sz w:val="22"/>
                <w:szCs w:val="22"/>
                <w:lang w:val="en-CA"/>
              </w:rPr>
            </w:pPr>
            <w:r>
              <w:rPr>
                <w:rFonts w:ascii="Arial" w:hAnsi="Arial"/>
                <w:b/>
                <w:bCs/>
                <w:lang w:val="en-CA"/>
              </w:rPr>
              <w:t>TO BE PROVIDED ON CLOSING</w:t>
            </w:r>
          </w:p>
        </w:tc>
      </w:tr>
      <w:tr w:rsidR="00A90670" w14:paraId="600DC183" w14:textId="77777777" w:rsidTr="00CE6E86">
        <w:trPr>
          <w:trHeight w:val="1052"/>
        </w:trPr>
        <w:tc>
          <w:tcPr>
            <w:tcW w:w="1664" w:type="dxa"/>
          </w:tcPr>
          <w:p w14:paraId="600DC17B" w14:textId="6580DE4C" w:rsidR="006E180A" w:rsidRPr="00A979F2" w:rsidRDefault="006E180A" w:rsidP="00CE6E86">
            <w:pPr>
              <w:pStyle w:val="BodyText"/>
              <w:spacing w:before="0"/>
              <w:jc w:val="center"/>
              <w:rPr>
                <w:b/>
                <w:bCs/>
                <w:sz w:val="22"/>
                <w:szCs w:val="22"/>
                <w:lang w:val="en-CA"/>
              </w:rPr>
            </w:pPr>
          </w:p>
        </w:tc>
        <w:tc>
          <w:tcPr>
            <w:tcW w:w="1376" w:type="dxa"/>
          </w:tcPr>
          <w:p w14:paraId="600DC17C" w14:textId="0B916FF6" w:rsidR="00A90670" w:rsidRPr="00A979F2" w:rsidRDefault="00A90670" w:rsidP="00CE6E86">
            <w:pPr>
              <w:pStyle w:val="BodyText"/>
              <w:spacing w:before="0"/>
              <w:jc w:val="center"/>
              <w:rPr>
                <w:bCs/>
                <w:sz w:val="22"/>
                <w:szCs w:val="22"/>
                <w:lang w:val="en-CA"/>
              </w:rPr>
            </w:pPr>
          </w:p>
        </w:tc>
        <w:tc>
          <w:tcPr>
            <w:tcW w:w="1192" w:type="dxa"/>
          </w:tcPr>
          <w:p w14:paraId="600DC17D" w14:textId="1D958163" w:rsidR="00A90670" w:rsidRPr="00A979F2" w:rsidRDefault="00A90670" w:rsidP="00CE6E86">
            <w:pPr>
              <w:pStyle w:val="BodyText"/>
              <w:spacing w:before="0"/>
              <w:jc w:val="center"/>
              <w:rPr>
                <w:sz w:val="22"/>
                <w:szCs w:val="22"/>
                <w:lang w:val="en-CA"/>
              </w:rPr>
            </w:pPr>
          </w:p>
        </w:tc>
        <w:tc>
          <w:tcPr>
            <w:tcW w:w="1376" w:type="dxa"/>
          </w:tcPr>
          <w:p w14:paraId="600DC17E" w14:textId="22407356" w:rsidR="00A90670" w:rsidRPr="00A979F2" w:rsidRDefault="00A90670" w:rsidP="00CE6E86">
            <w:pPr>
              <w:pStyle w:val="BodyText"/>
              <w:spacing w:before="0"/>
              <w:jc w:val="center"/>
              <w:rPr>
                <w:sz w:val="22"/>
                <w:szCs w:val="22"/>
                <w:lang w:val="en-CA"/>
              </w:rPr>
            </w:pPr>
          </w:p>
        </w:tc>
        <w:tc>
          <w:tcPr>
            <w:tcW w:w="1376" w:type="dxa"/>
          </w:tcPr>
          <w:p w14:paraId="600DC17F" w14:textId="0C793DB1" w:rsidR="00A90670" w:rsidRPr="00A979F2" w:rsidRDefault="00A90670" w:rsidP="00CE6E86">
            <w:pPr>
              <w:pStyle w:val="BodyText"/>
              <w:spacing w:before="0"/>
              <w:jc w:val="center"/>
              <w:rPr>
                <w:sz w:val="22"/>
                <w:szCs w:val="22"/>
                <w:lang w:val="en-CA"/>
              </w:rPr>
            </w:pPr>
          </w:p>
        </w:tc>
        <w:tc>
          <w:tcPr>
            <w:tcW w:w="1566" w:type="dxa"/>
          </w:tcPr>
          <w:p w14:paraId="600DC180" w14:textId="0FB777BD" w:rsidR="00A90670" w:rsidRPr="00A979F2" w:rsidRDefault="00A90670" w:rsidP="00CE6E86">
            <w:pPr>
              <w:pStyle w:val="BodyText"/>
              <w:spacing w:before="0"/>
              <w:jc w:val="center"/>
              <w:rPr>
                <w:bCs/>
                <w:sz w:val="22"/>
                <w:szCs w:val="22"/>
                <w:lang w:val="en-CA"/>
              </w:rPr>
            </w:pPr>
          </w:p>
        </w:tc>
        <w:tc>
          <w:tcPr>
            <w:tcW w:w="1080" w:type="dxa"/>
          </w:tcPr>
          <w:p w14:paraId="600DC181" w14:textId="7B052709" w:rsidR="00A90670" w:rsidRPr="00A979F2" w:rsidRDefault="00A90670" w:rsidP="00CE6E86">
            <w:pPr>
              <w:pStyle w:val="BodyText"/>
              <w:spacing w:before="0"/>
              <w:jc w:val="center"/>
              <w:rPr>
                <w:bCs/>
                <w:sz w:val="22"/>
                <w:szCs w:val="22"/>
                <w:lang w:val="en-CA"/>
              </w:rPr>
            </w:pPr>
          </w:p>
        </w:tc>
        <w:tc>
          <w:tcPr>
            <w:tcW w:w="1296" w:type="dxa"/>
          </w:tcPr>
          <w:p w14:paraId="600DC182" w14:textId="351B7FDE" w:rsidR="00A90670" w:rsidRPr="00A979F2" w:rsidRDefault="00A90670" w:rsidP="00CE6E86">
            <w:pPr>
              <w:pStyle w:val="BodyText"/>
              <w:spacing w:before="0"/>
              <w:jc w:val="center"/>
              <w:rPr>
                <w:bCs/>
                <w:sz w:val="22"/>
                <w:szCs w:val="22"/>
                <w:lang w:val="en-CA"/>
              </w:rPr>
            </w:pPr>
          </w:p>
        </w:tc>
      </w:tr>
    </w:tbl>
    <w:p w14:paraId="600DC18E" w14:textId="4226E811"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7811A299" w14:textId="56CAB9C7" w:rsidR="00904F73" w:rsidRPr="00904F73" w:rsidRDefault="00EA4133">
      <w:pPr>
        <w:pStyle w:val="List"/>
        <w:tabs>
          <w:tab w:val="left" w:pos="9162"/>
        </w:tabs>
        <w:rPr>
          <w:rFonts w:ascii="Arial" w:hAnsi="Arial"/>
          <w:b/>
          <w:bCs/>
          <w:u w:val="single"/>
        </w:rPr>
      </w:pPr>
      <w:r>
        <w:rPr>
          <w:rFonts w:ascii="Arial" w:hAnsi="Arial"/>
        </w:rPr>
        <w:t>1.</w:t>
      </w:r>
      <w:r>
        <w:rPr>
          <w:rFonts w:ascii="Arial" w:hAnsi="Arial"/>
        </w:rPr>
        <w:tab/>
        <w:t xml:space="preserve">Total amount of funds to be raised: </w:t>
      </w:r>
      <w:r w:rsidR="00904F73">
        <w:rPr>
          <w:rFonts w:ascii="Arial" w:hAnsi="Arial"/>
          <w:b/>
          <w:bCs/>
          <w:u w:val="single"/>
        </w:rPr>
        <w:t>Up to $</w:t>
      </w:r>
      <w:r w:rsidR="00B0259E">
        <w:rPr>
          <w:rFonts w:ascii="Arial" w:hAnsi="Arial"/>
          <w:b/>
          <w:bCs/>
          <w:u w:val="single"/>
        </w:rPr>
        <w:t>11,224,984</w:t>
      </w:r>
      <w:r w:rsidR="00904F73">
        <w:rPr>
          <w:rFonts w:ascii="Arial" w:hAnsi="Arial"/>
          <w:b/>
          <w:bCs/>
          <w:u w:val="single"/>
        </w:rPr>
        <w:t xml:space="preserve"> (USD$</w:t>
      </w:r>
      <w:r w:rsidR="00F82528">
        <w:rPr>
          <w:rFonts w:ascii="Arial" w:hAnsi="Arial"/>
          <w:b/>
          <w:bCs/>
          <w:u w:val="single"/>
        </w:rPr>
        <w:t>8</w:t>
      </w:r>
      <w:r w:rsidR="00904F73">
        <w:rPr>
          <w:rFonts w:ascii="Arial" w:hAnsi="Arial"/>
          <w:b/>
          <w:bCs/>
          <w:u w:val="single"/>
        </w:rPr>
        <w:t>,</w:t>
      </w:r>
      <w:r w:rsidR="00F82528">
        <w:rPr>
          <w:rFonts w:ascii="Arial" w:hAnsi="Arial"/>
          <w:b/>
          <w:bCs/>
          <w:u w:val="single"/>
        </w:rPr>
        <w:t>20</w:t>
      </w:r>
      <w:r w:rsidR="00904F73">
        <w:rPr>
          <w:rFonts w:ascii="Arial" w:hAnsi="Arial"/>
          <w:b/>
          <w:bCs/>
          <w:u w:val="single"/>
        </w:rPr>
        <w:t>0,000)</w:t>
      </w:r>
    </w:p>
    <w:p w14:paraId="1E4A216E" w14:textId="48B15C4E" w:rsidR="0071298D" w:rsidRPr="0071298D" w:rsidRDefault="00EA4133" w:rsidP="0071298D">
      <w:pPr>
        <w:pStyle w:val="BodyText"/>
        <w:tabs>
          <w:tab w:val="left" w:pos="1080"/>
          <w:tab w:val="left" w:pos="9180"/>
        </w:tabs>
        <w:ind w:left="1080" w:hanging="1080"/>
        <w:rPr>
          <w:rFonts w:ascii="Arial" w:hAnsi="Arial"/>
          <w:b/>
          <w:bCs/>
          <w:color w:val="FF0000"/>
          <w:u w:val="single"/>
          <w:lang w:val="en-US"/>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Pr="00D00805">
        <w:rPr>
          <w:rFonts w:ascii="Arial" w:hAnsi="Arial"/>
        </w:rPr>
        <w:t>.</w:t>
      </w:r>
      <w:r w:rsidR="00A979F2" w:rsidRPr="00D00805">
        <w:rPr>
          <w:rFonts w:ascii="Arial" w:hAnsi="Arial"/>
        </w:rPr>
        <w:t xml:space="preserve"> </w:t>
      </w:r>
      <w:r w:rsidR="00F82528" w:rsidRPr="00F82528">
        <w:rPr>
          <w:rFonts w:ascii="Arial" w:hAnsi="Arial"/>
          <w:b/>
          <w:bCs/>
          <w:u w:val="single"/>
          <w:lang w:val="en-US"/>
        </w:rPr>
        <w:t>The proceeds of the Private Placement will used by the Company to meet current obligations for the deployment of its modular direct lithium extraction plant (the “DLE Plant”) in the western United States as previously announced on January 11, 2024, and for general working capital purposes.</w:t>
      </w:r>
    </w:p>
    <w:p w14:paraId="600DC191" w14:textId="62BB073F"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94183A">
        <w:rPr>
          <w:rFonts w:ascii="Arial" w:hAnsi="Arial"/>
          <w:b/>
          <w:bCs/>
          <w:u w:val="single"/>
        </w:rPr>
        <w:t>To be provided on Closing.</w:t>
      </w:r>
    </w:p>
    <w:p w14:paraId="08ADB3F1" w14:textId="5714B346" w:rsidR="00326B25" w:rsidRPr="00CB0565" w:rsidRDefault="00EA4133" w:rsidP="00F6210F">
      <w:pPr>
        <w:pStyle w:val="BodyText"/>
        <w:numPr>
          <w:ilvl w:val="0"/>
          <w:numId w:val="10"/>
        </w:numPr>
        <w:tabs>
          <w:tab w:val="left" w:pos="9180"/>
        </w:tabs>
        <w:jc w:val="both"/>
        <w:rPr>
          <w:rFonts w:ascii="Arial" w:hAnsi="Arial"/>
        </w:rPr>
      </w:pPr>
      <w:r w:rsidRPr="00CB0565">
        <w:rPr>
          <w:rFonts w:ascii="Arial" w:hAnsi="Arial"/>
        </w:rPr>
        <w:t xml:space="preserve">If securities are issued in forgiveness of indebtedness, provide details </w:t>
      </w:r>
      <w:r w:rsidR="00CC2519" w:rsidRPr="00CB0565">
        <w:rPr>
          <w:rFonts w:ascii="Arial" w:hAnsi="Arial"/>
        </w:rPr>
        <w:t xml:space="preserve">of the </w:t>
      </w:r>
      <w:r w:rsidRPr="00CB0565">
        <w:rPr>
          <w:rFonts w:ascii="Arial" w:hAnsi="Arial"/>
        </w:rPr>
        <w:t>debt agreement(s) or and the agreement to exchange the debt for securities.</w:t>
      </w:r>
      <w:r w:rsidR="00EE7870" w:rsidRPr="00CB0565">
        <w:rPr>
          <w:rFonts w:ascii="Arial" w:hAnsi="Arial"/>
        </w:rPr>
        <w:t xml:space="preserve"> </w:t>
      </w:r>
      <w:r w:rsidR="00CB0565" w:rsidRPr="00CB0565">
        <w:rPr>
          <w:rFonts w:ascii="Arial" w:hAnsi="Arial"/>
          <w:b/>
          <w:bCs/>
          <w:u w:val="single"/>
        </w:rPr>
        <w:t>Securities issued under this Private Placement are not being issued in forgiveness of indebtedness.</w:t>
      </w:r>
    </w:p>
    <w:p w14:paraId="600DC193"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89E2DA1" w14:textId="1093EC7B" w:rsidR="00525E4C" w:rsidRPr="00525E4C" w:rsidRDefault="00525E4C" w:rsidP="00525E4C">
      <w:pPr>
        <w:pStyle w:val="BodyText"/>
        <w:tabs>
          <w:tab w:val="left" w:pos="9180"/>
        </w:tabs>
        <w:ind w:left="1080"/>
        <w:rPr>
          <w:rFonts w:ascii="Arial" w:hAnsi="Arial"/>
          <w:u w:val="single"/>
        </w:rPr>
      </w:pPr>
      <w:r>
        <w:rPr>
          <w:rFonts w:ascii="Arial" w:hAnsi="Arial"/>
          <w:u w:val="single"/>
        </w:rPr>
        <w:t>Units</w:t>
      </w:r>
    </w:p>
    <w:p w14:paraId="600DC194" w14:textId="11580F60" w:rsidR="00EA4133" w:rsidRDefault="00EA4133" w:rsidP="008736CB">
      <w:pPr>
        <w:pStyle w:val="BodyText"/>
        <w:keepNext/>
        <w:keepLines/>
        <w:tabs>
          <w:tab w:val="left" w:pos="1080"/>
          <w:tab w:val="left" w:pos="1440"/>
          <w:tab w:val="left" w:pos="2160"/>
          <w:tab w:val="left" w:pos="9180"/>
        </w:tabs>
        <w:ind w:left="2880" w:hanging="2880"/>
        <w:rPr>
          <w:rFonts w:ascii="Arial" w:hAnsi="Arial"/>
        </w:rPr>
      </w:pPr>
      <w:r>
        <w:rPr>
          <w:rFonts w:ascii="Arial" w:hAnsi="Arial"/>
        </w:rPr>
        <w:tab/>
        <w:t>(a)</w:t>
      </w:r>
      <w:r>
        <w:rPr>
          <w:rFonts w:ascii="Arial" w:hAnsi="Arial"/>
        </w:rPr>
        <w:tab/>
      </w:r>
      <w:r>
        <w:rPr>
          <w:rFonts w:ascii="Arial" w:hAnsi="Arial"/>
        </w:rPr>
        <w:tab/>
        <w:t>Class</w:t>
      </w:r>
      <w:r w:rsidR="008736CB">
        <w:rPr>
          <w:rFonts w:ascii="Arial" w:hAnsi="Arial"/>
        </w:rPr>
        <w:t xml:space="preserve">: </w:t>
      </w:r>
      <w:r w:rsidR="008736CB" w:rsidRPr="008736CB">
        <w:rPr>
          <w:rFonts w:ascii="Arial" w:hAnsi="Arial"/>
          <w:b/>
          <w:bCs/>
          <w:u w:val="single"/>
        </w:rPr>
        <w:t xml:space="preserve">Units comprised of one common share and one common share purchase warrant entitling the holder thereof to acquire one </w:t>
      </w:r>
      <w:r w:rsidR="00831044" w:rsidRPr="008736CB">
        <w:rPr>
          <w:rFonts w:ascii="Arial" w:hAnsi="Arial"/>
          <w:b/>
          <w:bCs/>
          <w:u w:val="single"/>
        </w:rPr>
        <w:t>common share</w:t>
      </w:r>
      <w:r w:rsidR="008736CB" w:rsidRPr="008736CB">
        <w:rPr>
          <w:rFonts w:ascii="Arial" w:hAnsi="Arial"/>
          <w:b/>
          <w:bCs/>
          <w:u w:val="single"/>
        </w:rPr>
        <w:t xml:space="preserve"> of the Issuer</w:t>
      </w:r>
      <w:r w:rsidRPr="008736CB">
        <w:rPr>
          <w:rFonts w:ascii="Arial" w:hAnsi="Arial"/>
          <w:b/>
          <w:bCs/>
          <w:u w:val="single"/>
        </w:rPr>
        <w:t>.</w:t>
      </w:r>
    </w:p>
    <w:p w14:paraId="600DC195" w14:textId="62FC7473"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8736CB" w:rsidRPr="008736CB">
        <w:rPr>
          <w:rFonts w:ascii="Arial" w:hAnsi="Arial"/>
        </w:rPr>
        <w:t xml:space="preserve">: </w:t>
      </w:r>
      <w:r w:rsidR="00904F73" w:rsidRPr="00904F73">
        <w:rPr>
          <w:rFonts w:ascii="Arial" w:hAnsi="Arial"/>
          <w:b/>
          <w:bCs/>
          <w:u w:val="single"/>
        </w:rPr>
        <w:t xml:space="preserve">Up to </w:t>
      </w:r>
      <w:r w:rsidR="00B0259E">
        <w:rPr>
          <w:rFonts w:ascii="Arial" w:hAnsi="Arial"/>
          <w:b/>
          <w:bCs/>
          <w:u w:val="single"/>
          <w:lang w:val="en-CA"/>
        </w:rPr>
        <w:t>14,647,900</w:t>
      </w:r>
    </w:p>
    <w:p w14:paraId="600DC196" w14:textId="6F091C72" w:rsidR="00EA4133" w:rsidRPr="008736CB" w:rsidRDefault="00EA4133">
      <w:pPr>
        <w:pStyle w:val="BodyText"/>
        <w:tabs>
          <w:tab w:val="left" w:pos="1080"/>
          <w:tab w:val="left" w:pos="1440"/>
          <w:tab w:val="left" w:pos="2160"/>
          <w:tab w:val="left" w:pos="9180"/>
        </w:tabs>
        <w:rPr>
          <w:rFonts w:ascii="Arial" w:hAnsi="Arial"/>
          <w:b/>
          <w:bCs/>
          <w:u w:val="single"/>
        </w:rPr>
      </w:pPr>
      <w:r>
        <w:rPr>
          <w:rFonts w:ascii="Arial" w:hAnsi="Arial"/>
        </w:rPr>
        <w:tab/>
        <w:t>(c)</w:t>
      </w:r>
      <w:r>
        <w:rPr>
          <w:rFonts w:ascii="Arial" w:hAnsi="Arial"/>
        </w:rPr>
        <w:tab/>
      </w:r>
      <w:r>
        <w:rPr>
          <w:rFonts w:ascii="Arial" w:hAnsi="Arial"/>
        </w:rPr>
        <w:tab/>
        <w:t>Price per security</w:t>
      </w:r>
      <w:r w:rsidR="008736CB">
        <w:rPr>
          <w:rFonts w:ascii="Arial" w:hAnsi="Arial"/>
        </w:rPr>
        <w:t xml:space="preserve">: </w:t>
      </w:r>
      <w:r w:rsidR="008736CB">
        <w:rPr>
          <w:rFonts w:ascii="Arial" w:hAnsi="Arial"/>
          <w:b/>
          <w:bCs/>
          <w:u w:val="single"/>
        </w:rPr>
        <w:t>CAD$</w:t>
      </w:r>
      <w:r w:rsidR="00904F73">
        <w:rPr>
          <w:rFonts w:ascii="Arial" w:hAnsi="Arial"/>
          <w:b/>
          <w:bCs/>
          <w:u w:val="single"/>
        </w:rPr>
        <w:t>0.</w:t>
      </w:r>
      <w:r w:rsidR="00B0259E">
        <w:rPr>
          <w:rFonts w:ascii="Arial" w:hAnsi="Arial"/>
          <w:b/>
          <w:bCs/>
          <w:u w:val="single"/>
        </w:rPr>
        <w:t>76632</w:t>
      </w:r>
    </w:p>
    <w:p w14:paraId="600DC197" w14:textId="2D0EFC36"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8736CB">
        <w:rPr>
          <w:rFonts w:ascii="Arial" w:hAnsi="Arial"/>
        </w:rPr>
        <w:t xml:space="preserve">: </w:t>
      </w:r>
      <w:r w:rsidR="008736CB" w:rsidRPr="008736CB">
        <w:rPr>
          <w:rFonts w:ascii="Arial" w:hAnsi="Arial"/>
          <w:b/>
          <w:bCs/>
          <w:u w:val="single"/>
        </w:rPr>
        <w:t>1 per common share</w:t>
      </w:r>
      <w:r w:rsidR="008736CB">
        <w:rPr>
          <w:rFonts w:ascii="Arial" w:hAnsi="Arial"/>
        </w:rPr>
        <w:t>.</w:t>
      </w:r>
    </w:p>
    <w:p w14:paraId="6594711C" w14:textId="2310D031" w:rsidR="00525E4C" w:rsidRDefault="00525E4C">
      <w:pPr>
        <w:pStyle w:val="BodyText"/>
        <w:tabs>
          <w:tab w:val="left" w:pos="1080"/>
          <w:tab w:val="left" w:pos="1440"/>
          <w:tab w:val="left" w:pos="2160"/>
          <w:tab w:val="left" w:pos="9180"/>
        </w:tabs>
        <w:rPr>
          <w:rFonts w:ascii="Arial" w:hAnsi="Arial"/>
          <w:u w:val="single"/>
        </w:rPr>
      </w:pPr>
      <w:r>
        <w:rPr>
          <w:rFonts w:ascii="Arial" w:hAnsi="Arial"/>
        </w:rPr>
        <w:tab/>
      </w:r>
      <w:r w:rsidRPr="00525E4C">
        <w:rPr>
          <w:rFonts w:ascii="Arial" w:hAnsi="Arial"/>
          <w:u w:val="single"/>
        </w:rPr>
        <w:t>Common Shares</w:t>
      </w:r>
    </w:p>
    <w:p w14:paraId="0F070E53" w14:textId="1E40BF83" w:rsidR="00525E4C" w:rsidRDefault="00525E4C" w:rsidP="00525E4C">
      <w:pPr>
        <w:pStyle w:val="BodyText"/>
        <w:keepNext/>
        <w:keepLines/>
        <w:tabs>
          <w:tab w:val="left" w:pos="1080"/>
          <w:tab w:val="left" w:pos="1440"/>
          <w:tab w:val="left" w:pos="2160"/>
          <w:tab w:val="left" w:pos="9180"/>
        </w:tabs>
        <w:ind w:left="2880" w:hanging="1800"/>
        <w:rPr>
          <w:rFonts w:ascii="Arial" w:hAnsi="Arial"/>
        </w:rPr>
      </w:pPr>
      <w:r>
        <w:rPr>
          <w:rFonts w:ascii="Arial" w:hAnsi="Arial"/>
        </w:rPr>
        <w:t>(a)</w:t>
      </w:r>
      <w:r>
        <w:rPr>
          <w:rFonts w:ascii="Arial" w:hAnsi="Arial"/>
        </w:rPr>
        <w:tab/>
      </w:r>
      <w:r>
        <w:rPr>
          <w:rFonts w:ascii="Arial" w:hAnsi="Arial"/>
        </w:rPr>
        <w:tab/>
        <w:t xml:space="preserve">Class: </w:t>
      </w:r>
      <w:r>
        <w:rPr>
          <w:rFonts w:ascii="Arial" w:hAnsi="Arial"/>
          <w:b/>
          <w:bCs/>
          <w:u w:val="single"/>
        </w:rPr>
        <w:t>Common Shares</w:t>
      </w:r>
    </w:p>
    <w:p w14:paraId="1CBD3309" w14:textId="1BA8F298" w:rsidR="00525E4C" w:rsidRDefault="00525E4C" w:rsidP="00525E4C">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Pr="008736CB">
        <w:rPr>
          <w:rFonts w:ascii="Arial" w:hAnsi="Arial"/>
        </w:rPr>
        <w:t xml:space="preserve">: </w:t>
      </w:r>
      <w:r w:rsidRPr="00904F73">
        <w:rPr>
          <w:rFonts w:ascii="Arial" w:hAnsi="Arial"/>
          <w:b/>
          <w:bCs/>
          <w:u w:val="single"/>
        </w:rPr>
        <w:t xml:space="preserve">Up to </w:t>
      </w:r>
      <w:r w:rsidR="00B0259E">
        <w:rPr>
          <w:rFonts w:ascii="Arial" w:hAnsi="Arial"/>
          <w:b/>
          <w:bCs/>
          <w:u w:val="single"/>
          <w:lang w:val="en-CA"/>
        </w:rPr>
        <w:t>375,129</w:t>
      </w:r>
    </w:p>
    <w:p w14:paraId="215BB28B" w14:textId="0B87DDD4" w:rsidR="00525E4C" w:rsidRPr="008736CB" w:rsidRDefault="00525E4C" w:rsidP="00525E4C">
      <w:pPr>
        <w:pStyle w:val="BodyText"/>
        <w:tabs>
          <w:tab w:val="left" w:pos="1080"/>
          <w:tab w:val="left" w:pos="1440"/>
          <w:tab w:val="left" w:pos="2160"/>
          <w:tab w:val="left" w:pos="9180"/>
        </w:tabs>
        <w:rPr>
          <w:rFonts w:ascii="Arial" w:hAnsi="Arial"/>
          <w:b/>
          <w:bCs/>
          <w:u w:val="single"/>
        </w:rPr>
      </w:pPr>
      <w:r>
        <w:rPr>
          <w:rFonts w:ascii="Arial" w:hAnsi="Arial"/>
        </w:rPr>
        <w:tab/>
        <w:t>(c)</w:t>
      </w:r>
      <w:r>
        <w:rPr>
          <w:rFonts w:ascii="Arial" w:hAnsi="Arial"/>
        </w:rPr>
        <w:tab/>
      </w:r>
      <w:r>
        <w:rPr>
          <w:rFonts w:ascii="Arial" w:hAnsi="Arial"/>
        </w:rPr>
        <w:tab/>
        <w:t xml:space="preserve">Price per security: </w:t>
      </w:r>
      <w:r w:rsidR="00B0259E">
        <w:rPr>
          <w:rFonts w:ascii="Arial" w:hAnsi="Arial"/>
          <w:b/>
          <w:bCs/>
          <w:u w:val="single"/>
        </w:rPr>
        <w:t>CAD$0.76632</w:t>
      </w:r>
    </w:p>
    <w:p w14:paraId="55DD42E8" w14:textId="77777777" w:rsidR="00525E4C" w:rsidRDefault="00525E4C" w:rsidP="00525E4C">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Pr="008736CB">
        <w:rPr>
          <w:rFonts w:ascii="Arial" w:hAnsi="Arial"/>
          <w:b/>
          <w:bCs/>
          <w:u w:val="single"/>
        </w:rPr>
        <w:t>1 per common share</w:t>
      </w:r>
      <w:r>
        <w:rPr>
          <w:rFonts w:ascii="Arial" w:hAnsi="Arial"/>
        </w:rPr>
        <w:t>.</w:t>
      </w:r>
    </w:p>
    <w:p w14:paraId="600DC198"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00DC199" w14:textId="5573458B"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B0259E" w:rsidRPr="00904F73">
        <w:rPr>
          <w:rFonts w:ascii="Arial" w:hAnsi="Arial"/>
          <w:b/>
          <w:bCs/>
          <w:u w:val="single"/>
        </w:rPr>
        <w:t xml:space="preserve">Up to </w:t>
      </w:r>
      <w:r w:rsidR="00B0259E">
        <w:rPr>
          <w:rFonts w:ascii="Arial" w:hAnsi="Arial"/>
          <w:b/>
          <w:bCs/>
          <w:u w:val="single"/>
          <w:lang w:val="en-CA"/>
        </w:rPr>
        <w:t>14,647,900</w:t>
      </w:r>
      <w:r w:rsidR="00B0259E">
        <w:rPr>
          <w:rFonts w:ascii="Arial" w:hAnsi="Arial"/>
          <w:b/>
          <w:bCs/>
          <w:u w:val="single"/>
          <w:lang w:val="en-CA"/>
        </w:rPr>
        <w:t xml:space="preserve"> </w:t>
      </w:r>
      <w:r w:rsidR="00CB0565">
        <w:rPr>
          <w:rFonts w:ascii="Arial" w:hAnsi="Arial"/>
          <w:b/>
          <w:bCs/>
          <w:u w:val="single"/>
          <w:lang w:val="en-CA"/>
        </w:rPr>
        <w:t>warrants will be issued pursuant to the subscription of units.</w:t>
      </w:r>
    </w:p>
    <w:p w14:paraId="600DC19A" w14:textId="673C0314" w:rsidR="00831044" w:rsidRDefault="00EA4133" w:rsidP="00831044">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Pr>
          <w:rFonts w:ascii="Arial" w:hAnsi="Arial"/>
        </w:rPr>
        <w:t>arrants (or options)</w:t>
      </w:r>
      <w:r w:rsidR="00831044">
        <w:rPr>
          <w:rFonts w:ascii="Arial" w:hAnsi="Arial"/>
        </w:rPr>
        <w:t xml:space="preserve">: </w:t>
      </w:r>
      <w:r w:rsidR="00904F73" w:rsidRPr="00904F73">
        <w:rPr>
          <w:rFonts w:ascii="Arial" w:hAnsi="Arial"/>
          <w:b/>
          <w:bCs/>
          <w:u w:val="single"/>
        </w:rPr>
        <w:t xml:space="preserve">Up to </w:t>
      </w:r>
      <w:r w:rsidR="00B0259E">
        <w:rPr>
          <w:rFonts w:ascii="Arial" w:hAnsi="Arial"/>
          <w:b/>
          <w:bCs/>
          <w:u w:val="single"/>
          <w:lang w:val="en-CA"/>
        </w:rPr>
        <w:t xml:space="preserve">14,647,900 </w:t>
      </w:r>
      <w:r w:rsidR="00831044">
        <w:rPr>
          <w:rFonts w:ascii="Arial" w:hAnsi="Arial"/>
          <w:b/>
          <w:bCs/>
          <w:u w:val="single"/>
          <w:lang w:val="en-CA"/>
        </w:rPr>
        <w:t>common shares</w:t>
      </w:r>
      <w:r w:rsidR="009249CB">
        <w:rPr>
          <w:rFonts w:ascii="Arial" w:hAnsi="Arial"/>
          <w:b/>
          <w:bCs/>
          <w:u w:val="single"/>
          <w:lang w:val="en-CA"/>
        </w:rPr>
        <w:t>.</w:t>
      </w:r>
    </w:p>
    <w:p w14:paraId="600DC19C" w14:textId="69B4FAE1" w:rsidR="00EA4133" w:rsidRDefault="00EA4133" w:rsidP="00831044">
      <w:pPr>
        <w:pStyle w:val="List"/>
        <w:tabs>
          <w:tab w:val="left" w:pos="1080"/>
          <w:tab w:val="left" w:pos="1440"/>
          <w:tab w:val="left" w:pos="2160"/>
          <w:tab w:val="left" w:pos="9180"/>
        </w:tabs>
        <w:ind w:left="0" w:firstLine="0"/>
        <w:rPr>
          <w:rFonts w:ascii="Arial" w:hAnsi="Arial"/>
        </w:rPr>
      </w:pPr>
      <w:r>
        <w:rPr>
          <w:rFonts w:ascii="Arial" w:hAnsi="Arial"/>
        </w:rPr>
        <w:tab/>
        <w:t>(c)</w:t>
      </w:r>
      <w:r>
        <w:rPr>
          <w:rFonts w:ascii="Arial" w:hAnsi="Arial"/>
        </w:rPr>
        <w:tab/>
      </w:r>
      <w:r>
        <w:rPr>
          <w:rFonts w:ascii="Arial" w:hAnsi="Arial"/>
        </w:rPr>
        <w:tab/>
        <w:t>Exercise price</w:t>
      </w:r>
      <w:r w:rsidR="00831044" w:rsidRPr="00831044">
        <w:rPr>
          <w:rFonts w:ascii="Arial" w:hAnsi="Arial"/>
        </w:rPr>
        <w:t xml:space="preserve">: </w:t>
      </w:r>
      <w:r w:rsidR="00831044" w:rsidRPr="00831044">
        <w:rPr>
          <w:rFonts w:ascii="Arial" w:hAnsi="Arial"/>
          <w:b/>
          <w:bCs/>
          <w:u w:val="single"/>
        </w:rPr>
        <w:t>CAD$</w:t>
      </w:r>
      <w:r w:rsidR="00904F73">
        <w:rPr>
          <w:rFonts w:ascii="Arial" w:hAnsi="Arial"/>
          <w:b/>
          <w:bCs/>
          <w:u w:val="single"/>
        </w:rPr>
        <w:t>0.</w:t>
      </w:r>
      <w:r w:rsidR="00B0259E">
        <w:rPr>
          <w:rFonts w:ascii="Arial" w:hAnsi="Arial"/>
          <w:b/>
          <w:bCs/>
          <w:u w:val="single"/>
        </w:rPr>
        <w:t>9579</w:t>
      </w:r>
    </w:p>
    <w:p w14:paraId="600DC19D" w14:textId="7DC56272"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9249CB" w:rsidRPr="009249CB">
        <w:rPr>
          <w:rFonts w:ascii="Arial" w:hAnsi="Arial"/>
          <w:b/>
          <w:bCs/>
          <w:u w:val="single"/>
        </w:rPr>
        <w:t>Two years from issuance</w:t>
      </w:r>
      <w:r>
        <w:rPr>
          <w:rFonts w:ascii="Arial" w:hAnsi="Arial"/>
        </w:rPr>
        <w:t>.</w:t>
      </w:r>
    </w:p>
    <w:p w14:paraId="600DC19E" w14:textId="10885C9A"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710F7C">
        <w:rPr>
          <w:b w:val="0"/>
          <w:sz w:val="24"/>
        </w:rPr>
        <w:t xml:space="preserve"> </w:t>
      </w:r>
      <w:r w:rsidR="00CB0565">
        <w:rPr>
          <w:bCs/>
          <w:sz w:val="24"/>
          <w:u w:val="single"/>
        </w:rPr>
        <w:t>Debt Securities are not to be issued.</w:t>
      </w:r>
    </w:p>
    <w:p w14:paraId="600DC19F"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600DC1A0" w14:textId="77777777" w:rsidR="00EA4133" w:rsidRDefault="00EA4133">
      <w:pPr>
        <w:pStyle w:val="List"/>
        <w:tabs>
          <w:tab w:val="left" w:pos="1440"/>
          <w:tab w:val="left" w:pos="2160"/>
          <w:tab w:val="left" w:pos="9180"/>
        </w:tabs>
        <w:rPr>
          <w:rFonts w:ascii="Arial" w:hAnsi="Arial"/>
        </w:rPr>
      </w:pPr>
      <w:r>
        <w:rPr>
          <w:rFonts w:ascii="Arial" w:hAnsi="Arial"/>
        </w:rPr>
        <w:lastRenderedPageBreak/>
        <w:tab/>
        <w:t xml:space="preserve">(b) </w:t>
      </w:r>
      <w:r>
        <w:rPr>
          <w:rFonts w:ascii="Arial" w:hAnsi="Arial"/>
        </w:rPr>
        <w:tab/>
        <w:t xml:space="preserve">Maturity date </w:t>
      </w:r>
      <w:r>
        <w:rPr>
          <w:rFonts w:ascii="Arial" w:hAnsi="Arial"/>
          <w:u w:val="single"/>
        </w:rPr>
        <w:tab/>
      </w:r>
      <w:r>
        <w:rPr>
          <w:rFonts w:ascii="Arial" w:hAnsi="Arial"/>
        </w:rPr>
        <w:t xml:space="preserve"> .</w:t>
      </w:r>
    </w:p>
    <w:p w14:paraId="600DC1A1"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600DC1A2"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600DC1A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600DC1A5" w14:textId="7051BF75"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710F7C">
        <w:rPr>
          <w:rFonts w:ascii="Arial" w:hAnsi="Arial"/>
        </w:rPr>
        <w:t xml:space="preserve"> </w:t>
      </w:r>
    </w:p>
    <w:p w14:paraId="600DC1A6" w14:textId="5BC6D82C"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f a corporation, identify persons owning or exercising voting control over 20% or more of the voting shares if known to the Issuer)</w:t>
      </w:r>
      <w:r w:rsidR="00CB0565">
        <w:rPr>
          <w:rFonts w:ascii="Arial" w:hAnsi="Arial"/>
        </w:rPr>
        <w:t xml:space="preserve">: </w:t>
      </w:r>
      <w:r w:rsidR="00904F73">
        <w:rPr>
          <w:rFonts w:ascii="Arial" w:hAnsi="Arial"/>
          <w:b/>
          <w:bCs/>
          <w:u w:val="single"/>
        </w:rPr>
        <w:t>To be provided on Closing.</w:t>
      </w:r>
    </w:p>
    <w:p w14:paraId="600DC1A7" w14:textId="678979EE"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71298D">
        <w:rPr>
          <w:rFonts w:ascii="Arial" w:hAnsi="Arial"/>
        </w:rPr>
        <w:t xml:space="preserve">: </w:t>
      </w:r>
    </w:p>
    <w:p w14:paraId="600DC1A8"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600DC1A9" w14:textId="45EF67AC"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Other.</w:t>
      </w:r>
    </w:p>
    <w:p w14:paraId="600DC1AA"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600DC1AB"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600DC1AC" w14:textId="20178691" w:rsidR="003C0481" w:rsidRDefault="00EA4133" w:rsidP="003C0481">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3C0481">
        <w:rPr>
          <w:rFonts w:ascii="Arial" w:hAnsi="Arial"/>
        </w:rPr>
        <w:t xml:space="preserve">: </w:t>
      </w:r>
    </w:p>
    <w:p w14:paraId="600DC1B0" w14:textId="797FD925" w:rsidR="00EA4133" w:rsidRDefault="00EA4133" w:rsidP="0019271C">
      <w:pPr>
        <w:pStyle w:val="List"/>
        <w:numPr>
          <w:ilvl w:val="0"/>
          <w:numId w:val="10"/>
        </w:numPr>
        <w:tabs>
          <w:tab w:val="left" w:pos="1080"/>
          <w:tab w:val="left" w:pos="9180"/>
        </w:tabs>
        <w:jc w:val="both"/>
        <w:rPr>
          <w:rFonts w:ascii="Arial" w:hAnsi="Arial"/>
        </w:rPr>
      </w:pPr>
      <w:r>
        <w:rPr>
          <w:rFonts w:ascii="Arial" w:hAnsi="Arial"/>
        </w:rPr>
        <w:t>Describe any unusual particulars of the transaction (i.e. tax “flow through” shares, etc.)</w:t>
      </w:r>
      <w:r w:rsidR="0019271C">
        <w:rPr>
          <w:rFonts w:ascii="Arial" w:hAnsi="Arial"/>
        </w:rPr>
        <w:t xml:space="preserve"> </w:t>
      </w:r>
      <w:r w:rsidR="0019271C" w:rsidRPr="0019271C">
        <w:rPr>
          <w:rFonts w:ascii="Arial" w:hAnsi="Arial"/>
          <w:b/>
          <w:bCs/>
          <w:u w:val="single"/>
        </w:rPr>
        <w:t>None</w:t>
      </w:r>
      <w:r>
        <w:rPr>
          <w:rFonts w:ascii="Arial" w:hAnsi="Arial"/>
        </w:rPr>
        <w:t>.</w:t>
      </w:r>
    </w:p>
    <w:p w14:paraId="600DC1B2" w14:textId="46FCC6D9" w:rsidR="00EA4133" w:rsidRDefault="00EA4133" w:rsidP="004C09CC">
      <w:pPr>
        <w:pStyle w:val="List"/>
        <w:numPr>
          <w:ilvl w:val="0"/>
          <w:numId w:val="10"/>
        </w:numPr>
        <w:jc w:val="both"/>
        <w:rPr>
          <w:rFonts w:ascii="Arial" w:hAnsi="Arial"/>
        </w:rPr>
      </w:pPr>
      <w:r>
        <w:rPr>
          <w:rFonts w:ascii="Arial" w:hAnsi="Arial"/>
        </w:rPr>
        <w:t>State whether the private placement will result in a change of control</w:t>
      </w:r>
      <w:r w:rsidR="0019271C">
        <w:rPr>
          <w:rFonts w:ascii="Arial" w:hAnsi="Arial"/>
        </w:rPr>
        <w:t xml:space="preserve">: </w:t>
      </w:r>
      <w:r w:rsidR="00CB0565">
        <w:rPr>
          <w:rFonts w:ascii="Arial" w:hAnsi="Arial"/>
          <w:b/>
          <w:bCs/>
          <w:u w:val="single"/>
        </w:rPr>
        <w:t>The Private Placement will not result in a change of control.</w:t>
      </w:r>
    </w:p>
    <w:p w14:paraId="600DC1B3" w14:textId="77777777" w:rsidR="00EA4133" w:rsidRDefault="00EA4133">
      <w:pPr>
        <w:pStyle w:val="List"/>
        <w:tabs>
          <w:tab w:val="left" w:pos="9180"/>
        </w:tabs>
        <w:spacing w:before="0"/>
        <w:jc w:val="both"/>
        <w:rPr>
          <w:rFonts w:ascii="Arial" w:hAnsi="Arial"/>
        </w:rPr>
      </w:pPr>
    </w:p>
    <w:p w14:paraId="600DC1B4" w14:textId="5A9F00ED" w:rsidR="0019271C" w:rsidRDefault="00EA4133" w:rsidP="0019271C">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p>
    <w:p w14:paraId="600DC1B9" w14:textId="781EC4E6" w:rsidR="003C6D7E" w:rsidRPr="0019271C" w:rsidRDefault="00EA4133" w:rsidP="0011495B">
      <w:pPr>
        <w:pStyle w:val="List"/>
        <w:numPr>
          <w:ilvl w:val="0"/>
          <w:numId w:val="10"/>
        </w:numPr>
        <w:jc w:val="both"/>
        <w:rPr>
          <w:rFonts w:ascii="Arial" w:hAnsi="Arial"/>
          <w:b/>
          <w:color w:val="000000"/>
        </w:rPr>
      </w:pPr>
      <w:r w:rsidRPr="0019271C">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sidRPr="0019271C">
        <w:rPr>
          <w:rFonts w:ascii="Arial" w:hAnsi="Arial"/>
        </w:rPr>
        <w:t xml:space="preserve">National </w:t>
      </w:r>
      <w:r w:rsidR="00C536D3" w:rsidRPr="0019271C">
        <w:rPr>
          <w:rFonts w:ascii="Arial" w:hAnsi="Arial"/>
        </w:rPr>
        <w:t>Instrument 45-102 Resale of Securities</w:t>
      </w:r>
      <w:r w:rsidRPr="0019271C">
        <w:rPr>
          <w:rFonts w:ascii="Arial" w:hAnsi="Arial"/>
        </w:rPr>
        <w:t>.</w:t>
      </w:r>
    </w:p>
    <w:p w14:paraId="600DC1BA"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600DC1BB" w14:textId="77777777" w:rsidR="00EA4133" w:rsidRDefault="00EA4133">
      <w:pPr>
        <w:pStyle w:val="List"/>
        <w:tabs>
          <w:tab w:val="left" w:pos="9180"/>
        </w:tabs>
        <w:spacing w:before="0"/>
        <w:ind w:left="0" w:firstLine="0"/>
        <w:jc w:val="both"/>
        <w:rPr>
          <w:rFonts w:ascii="Arial" w:hAnsi="Arial"/>
          <w:color w:val="000000"/>
        </w:rPr>
      </w:pPr>
    </w:p>
    <w:p w14:paraId="5481363B" w14:textId="5E73FBB4" w:rsidR="00E208B4" w:rsidRPr="0019271C" w:rsidRDefault="00EA4133" w:rsidP="0019271C">
      <w:pPr>
        <w:pStyle w:val="List"/>
        <w:numPr>
          <w:ilvl w:val="0"/>
          <w:numId w:val="14"/>
        </w:numPr>
        <w:tabs>
          <w:tab w:val="clear" w:pos="360"/>
          <w:tab w:val="num" w:pos="1080"/>
          <w:tab w:val="left" w:pos="9180"/>
        </w:tabs>
        <w:spacing w:before="0"/>
        <w:ind w:left="1080" w:hanging="1080"/>
        <w:jc w:val="both"/>
        <w:rPr>
          <w:rFonts w:ascii="Arial" w:hAnsi="Arial" w:cs="Arial"/>
          <w:b/>
          <w:bCs/>
          <w:color w:val="FF0000"/>
          <w:szCs w:val="24"/>
          <w:u w:val="single"/>
        </w:rPr>
      </w:pPr>
      <w:r w:rsidRPr="00AC0C68">
        <w:rPr>
          <w:rFonts w:ascii="Arial" w:hAnsi="Arial"/>
          <w:color w:val="000000"/>
        </w:rPr>
        <w:t xml:space="preserve">Provide details of the assets to be acquired by the Issuer (including the </w:t>
      </w:r>
      <w:r w:rsidRPr="00AC0C68">
        <w:rPr>
          <w:rFonts w:ascii="Arial" w:hAnsi="Arial" w:cs="Arial"/>
          <w:color w:val="000000"/>
          <w:szCs w:val="24"/>
        </w:rPr>
        <w:t xml:space="preserve">location of the assets, if applicable).  The disclosure should be sufficiently complete to enable a reader to appreciate the significance of the transaction without reference to any other material: </w:t>
      </w:r>
      <w:r w:rsidR="00904F73">
        <w:rPr>
          <w:rFonts w:ascii="Arial" w:hAnsi="Arial" w:cs="Arial"/>
          <w:b/>
          <w:bCs/>
          <w:color w:val="000000"/>
          <w:szCs w:val="24"/>
          <w:u w:val="single"/>
        </w:rPr>
        <w:t>N/A.</w:t>
      </w:r>
    </w:p>
    <w:p w14:paraId="1E1A50B9" w14:textId="77777777" w:rsidR="0019271C" w:rsidRDefault="0019271C" w:rsidP="0019271C">
      <w:pPr>
        <w:pStyle w:val="List"/>
        <w:tabs>
          <w:tab w:val="left" w:pos="9180"/>
        </w:tabs>
        <w:spacing w:before="0"/>
        <w:ind w:firstLine="0"/>
        <w:jc w:val="both"/>
        <w:rPr>
          <w:rFonts w:ascii="Arial" w:hAnsi="Arial" w:cs="Arial"/>
          <w:b/>
          <w:bCs/>
          <w:color w:val="FF0000"/>
          <w:szCs w:val="24"/>
          <w:u w:val="single"/>
        </w:rPr>
      </w:pPr>
    </w:p>
    <w:p w14:paraId="600DC1BF" w14:textId="380D565F" w:rsidR="00EA4133" w:rsidRDefault="00EA4133" w:rsidP="00121387">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Provide details of the acquisition including the date, parties to and type of agreement (eg: sale, option, license etc.) and relationship to the Issuer.</w:t>
      </w:r>
      <w:r w:rsidR="006003CB">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904F73">
        <w:rPr>
          <w:rFonts w:ascii="Arial" w:hAnsi="Arial" w:cs="Arial"/>
          <w:b/>
          <w:bCs/>
          <w:color w:val="000000"/>
          <w:szCs w:val="24"/>
          <w:u w:val="single"/>
        </w:rPr>
        <w:t>N/A.</w:t>
      </w:r>
    </w:p>
    <w:p w14:paraId="600DC1C0" w14:textId="1696BAC0"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r w:rsidR="00904F73">
        <w:rPr>
          <w:rFonts w:ascii="Arial" w:hAnsi="Arial"/>
          <w:color w:val="000000"/>
        </w:rPr>
        <w:t xml:space="preserve"> </w:t>
      </w:r>
      <w:r w:rsidR="00904F73">
        <w:rPr>
          <w:rFonts w:ascii="Arial" w:hAnsi="Arial" w:cs="Arial"/>
          <w:b/>
          <w:bCs/>
          <w:color w:val="000000"/>
          <w:szCs w:val="24"/>
          <w:u w:val="single"/>
        </w:rPr>
        <w:t>N/A.</w:t>
      </w:r>
    </w:p>
    <w:p w14:paraId="600DC1C1" w14:textId="03CE6949"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
    <w:p w14:paraId="600DC1C2" w14:textId="20A9BA9C"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
    <w:p w14:paraId="798B76CD" w14:textId="2A68C924" w:rsidR="00121387" w:rsidRDefault="00121387" w:rsidP="00121387">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p>
    <w:p w14:paraId="76598A02" w14:textId="10F93516" w:rsidR="00121387" w:rsidRPr="00C74E32" w:rsidRDefault="00121387" w:rsidP="00121387">
      <w:pPr>
        <w:pStyle w:val="List"/>
        <w:numPr>
          <w:ilvl w:val="0"/>
          <w:numId w:val="13"/>
        </w:numPr>
        <w:tabs>
          <w:tab w:val="left" w:pos="2160"/>
          <w:tab w:val="left" w:pos="9180"/>
        </w:tabs>
        <w:rPr>
          <w:rFonts w:ascii="Arial" w:hAnsi="Arial"/>
          <w:b/>
          <w:bCs/>
          <w:color w:val="000000"/>
        </w:rPr>
      </w:pPr>
      <w:r>
        <w:rPr>
          <w:rFonts w:ascii="Arial" w:hAnsi="Arial"/>
          <w:color w:val="000000"/>
        </w:rPr>
        <w:t xml:space="preserve">Other: </w:t>
      </w:r>
    </w:p>
    <w:p w14:paraId="64107286" w14:textId="437639A6" w:rsidR="00121387" w:rsidRDefault="00121387" w:rsidP="00121387">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
    <w:p w14:paraId="66066C00" w14:textId="298E7909" w:rsidR="00121387" w:rsidRDefault="00121387" w:rsidP="00121387">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
    <w:p w14:paraId="1F6A165E" w14:textId="59C61F0A" w:rsidR="00121387" w:rsidRDefault="00121387" w:rsidP="00121387">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
    <w:p w14:paraId="600DC1C9" w14:textId="2F872873"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C74E32">
        <w:rPr>
          <w:rFonts w:ascii="Arial" w:hAnsi="Arial"/>
          <w:color w:val="000000"/>
        </w:rPr>
        <w:t xml:space="preserve"> </w:t>
      </w:r>
      <w:r w:rsidR="00904F73">
        <w:rPr>
          <w:rFonts w:ascii="Arial" w:hAnsi="Arial" w:cs="Arial"/>
          <w:b/>
          <w:bCs/>
          <w:color w:val="000000"/>
          <w:szCs w:val="24"/>
          <w:u w:val="single"/>
        </w:rPr>
        <w:t>N/A.</w:t>
      </w:r>
    </w:p>
    <w:p w14:paraId="600DC1CB" w14:textId="6F278F4D" w:rsidR="00EA4133" w:rsidRDefault="00EA4133" w:rsidP="00C74E32">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74E32">
        <w:rPr>
          <w:rFonts w:ascii="Arial" w:hAnsi="Arial"/>
          <w:color w:val="000000"/>
        </w:rPr>
        <w:t xml:space="preserve"> </w:t>
      </w:r>
      <w:r w:rsidR="00904F73">
        <w:rPr>
          <w:rFonts w:ascii="Arial" w:hAnsi="Arial" w:cs="Arial"/>
          <w:b/>
          <w:bCs/>
          <w:color w:val="000000"/>
          <w:szCs w:val="24"/>
          <w:u w:val="single"/>
        </w:rPr>
        <w:t>N/A.</w:t>
      </w:r>
    </w:p>
    <w:p w14:paraId="600DC1CC" w14:textId="7EA5818F" w:rsidR="00EA4133" w:rsidRDefault="00EA4133" w:rsidP="00904F73">
      <w:pPr>
        <w:pStyle w:val="List"/>
        <w:numPr>
          <w:ilvl w:val="0"/>
          <w:numId w:val="16"/>
        </w:numPr>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904F73">
        <w:rPr>
          <w:rFonts w:ascii="Arial" w:hAnsi="Arial"/>
          <w:color w:val="000000"/>
        </w:rPr>
        <w:t xml:space="preserve"> </w:t>
      </w:r>
      <w:r w:rsidR="00904F73">
        <w:rPr>
          <w:rFonts w:ascii="Arial" w:hAnsi="Arial" w:cs="Arial"/>
          <w:b/>
          <w:bCs/>
          <w:color w:val="000000"/>
          <w:szCs w:val="24"/>
          <w:u w:val="single"/>
        </w:rPr>
        <w:t>N/A.</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600DC1DC" w14:textId="77777777">
        <w:tc>
          <w:tcPr>
            <w:tcW w:w="1440" w:type="dxa"/>
          </w:tcPr>
          <w:p w14:paraId="600DC1CD" w14:textId="77777777" w:rsidR="00EA4133" w:rsidRDefault="00EA4133">
            <w:pPr>
              <w:pStyle w:val="BodyText"/>
              <w:keepNext/>
              <w:keepLines/>
              <w:spacing w:before="0" w:line="280" w:lineRule="exact"/>
              <w:jc w:val="center"/>
              <w:rPr>
                <w:rFonts w:ascii="Arial" w:hAnsi="Arial"/>
                <w:b/>
                <w:sz w:val="20"/>
                <w:lang w:val="en-CA"/>
              </w:rPr>
            </w:pPr>
          </w:p>
          <w:p w14:paraId="600DC1C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600DC1CF" w14:textId="77777777" w:rsidR="00EA4133" w:rsidRDefault="00EA4133">
            <w:pPr>
              <w:pStyle w:val="BodyText"/>
              <w:keepNext/>
              <w:keepLines/>
              <w:spacing w:before="0" w:line="280" w:lineRule="exact"/>
              <w:jc w:val="center"/>
              <w:rPr>
                <w:rFonts w:ascii="Arial" w:hAnsi="Arial"/>
                <w:b/>
                <w:sz w:val="20"/>
                <w:lang w:val="en-CA"/>
              </w:rPr>
            </w:pPr>
          </w:p>
          <w:p w14:paraId="600DC1D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600DC1D1" w14:textId="77777777" w:rsidR="00EA4133" w:rsidRDefault="00EA4133">
            <w:pPr>
              <w:pStyle w:val="BodyText"/>
              <w:keepNext/>
              <w:keepLines/>
              <w:spacing w:before="0" w:line="280" w:lineRule="exact"/>
              <w:jc w:val="center"/>
              <w:rPr>
                <w:rFonts w:ascii="Arial" w:hAnsi="Arial"/>
                <w:b/>
                <w:sz w:val="20"/>
                <w:lang w:val="en-CA"/>
              </w:rPr>
            </w:pPr>
          </w:p>
          <w:p w14:paraId="600DC1D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600DC1D3" w14:textId="77777777" w:rsidR="00EA4133" w:rsidRDefault="00EA4133">
            <w:pPr>
              <w:pStyle w:val="BodyText"/>
              <w:keepNext/>
              <w:keepLines/>
              <w:spacing w:before="0" w:line="280" w:lineRule="exact"/>
              <w:jc w:val="center"/>
              <w:rPr>
                <w:rFonts w:ascii="Arial" w:hAnsi="Arial"/>
                <w:b/>
                <w:sz w:val="20"/>
                <w:lang w:val="en-CA"/>
              </w:rPr>
            </w:pPr>
          </w:p>
          <w:p w14:paraId="600DC1D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600DC1D5" w14:textId="77777777" w:rsidR="00EA4133" w:rsidRDefault="00EA4133">
            <w:pPr>
              <w:pStyle w:val="BodyText"/>
              <w:keepNext/>
              <w:keepLines/>
              <w:spacing w:before="0" w:line="280" w:lineRule="exact"/>
              <w:jc w:val="center"/>
              <w:rPr>
                <w:rFonts w:ascii="Arial" w:hAnsi="Arial"/>
                <w:b/>
                <w:sz w:val="20"/>
                <w:lang w:val="en-CA"/>
              </w:rPr>
            </w:pPr>
          </w:p>
          <w:p w14:paraId="600DC1D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600DC1D7" w14:textId="77777777" w:rsidR="00EA4133" w:rsidRDefault="00EA4133">
            <w:pPr>
              <w:pStyle w:val="BodyText"/>
              <w:keepNext/>
              <w:keepLines/>
              <w:spacing w:before="0" w:line="280" w:lineRule="exact"/>
              <w:jc w:val="center"/>
              <w:rPr>
                <w:rFonts w:ascii="Arial" w:hAnsi="Arial"/>
                <w:b/>
                <w:sz w:val="20"/>
              </w:rPr>
            </w:pPr>
          </w:p>
          <w:p w14:paraId="600DC1D8"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00DC1D9" w14:textId="77777777" w:rsidR="00EA4133" w:rsidRDefault="00EA4133">
            <w:pPr>
              <w:pStyle w:val="BodyText"/>
              <w:keepNext/>
              <w:keepLines/>
              <w:spacing w:before="0" w:line="280" w:lineRule="exact"/>
              <w:jc w:val="center"/>
              <w:rPr>
                <w:rFonts w:ascii="Arial" w:hAnsi="Arial"/>
                <w:b/>
                <w:color w:val="000000"/>
                <w:sz w:val="20"/>
                <w:lang w:val="en-CA"/>
              </w:rPr>
            </w:pPr>
          </w:p>
          <w:p w14:paraId="600DC1DA"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00DC1DB"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121387" w14:paraId="51FB0BE9" w14:textId="77777777" w:rsidTr="00904F73">
        <w:trPr>
          <w:trHeight w:hRule="exact" w:val="901"/>
        </w:trPr>
        <w:tc>
          <w:tcPr>
            <w:tcW w:w="1440" w:type="dxa"/>
          </w:tcPr>
          <w:p w14:paraId="651BC678" w14:textId="0B6727CF" w:rsidR="00121387" w:rsidRPr="00180F6A" w:rsidRDefault="00121387" w:rsidP="00121387">
            <w:pPr>
              <w:pStyle w:val="BodyText"/>
              <w:keepNext/>
              <w:keepLines/>
              <w:rPr>
                <w:rFonts w:ascii="Arial" w:hAnsi="Arial"/>
                <w:sz w:val="20"/>
                <w:lang w:val="en-CA"/>
              </w:rPr>
            </w:pPr>
          </w:p>
        </w:tc>
        <w:tc>
          <w:tcPr>
            <w:tcW w:w="1260" w:type="dxa"/>
          </w:tcPr>
          <w:p w14:paraId="7599E5AC" w14:textId="6DF5D7DD" w:rsidR="00121387" w:rsidRPr="00180F6A" w:rsidRDefault="00121387" w:rsidP="00121387">
            <w:pPr>
              <w:pStyle w:val="BodyText"/>
              <w:keepNext/>
              <w:keepLines/>
              <w:rPr>
                <w:rFonts w:ascii="Arial" w:hAnsi="Arial"/>
                <w:sz w:val="20"/>
                <w:lang w:val="en-CA"/>
              </w:rPr>
            </w:pPr>
          </w:p>
        </w:tc>
        <w:tc>
          <w:tcPr>
            <w:tcW w:w="1260" w:type="dxa"/>
          </w:tcPr>
          <w:p w14:paraId="2C0CEFE5" w14:textId="7075B035" w:rsidR="00121387" w:rsidRPr="00121387" w:rsidRDefault="00121387" w:rsidP="00121387">
            <w:pPr>
              <w:pStyle w:val="BodyText"/>
              <w:keepNext/>
              <w:keepLines/>
              <w:rPr>
                <w:rFonts w:ascii="Arial" w:hAnsi="Arial"/>
                <w:sz w:val="20"/>
                <w:lang w:val="en-CA"/>
              </w:rPr>
            </w:pPr>
          </w:p>
        </w:tc>
        <w:tc>
          <w:tcPr>
            <w:tcW w:w="1440" w:type="dxa"/>
          </w:tcPr>
          <w:p w14:paraId="075BFA23" w14:textId="58C74A2E" w:rsidR="00121387" w:rsidRPr="00121387" w:rsidRDefault="00121387" w:rsidP="00121387">
            <w:pPr>
              <w:pStyle w:val="BodyText"/>
              <w:keepNext/>
              <w:keepLines/>
              <w:rPr>
                <w:rFonts w:ascii="Arial" w:hAnsi="Arial"/>
                <w:sz w:val="20"/>
                <w:lang w:val="en-CA"/>
              </w:rPr>
            </w:pPr>
          </w:p>
        </w:tc>
        <w:tc>
          <w:tcPr>
            <w:tcW w:w="1440" w:type="dxa"/>
          </w:tcPr>
          <w:p w14:paraId="6E97D14D" w14:textId="25F8E71F" w:rsidR="00121387" w:rsidRPr="00121387" w:rsidRDefault="00121387" w:rsidP="00121387">
            <w:pPr>
              <w:pStyle w:val="BodyText"/>
              <w:keepNext/>
              <w:keepLines/>
              <w:rPr>
                <w:rFonts w:ascii="Arial" w:hAnsi="Arial"/>
                <w:sz w:val="20"/>
                <w:lang w:val="en-CA"/>
              </w:rPr>
            </w:pPr>
          </w:p>
        </w:tc>
        <w:tc>
          <w:tcPr>
            <w:tcW w:w="1620" w:type="dxa"/>
          </w:tcPr>
          <w:p w14:paraId="514566D7" w14:textId="34B885FC" w:rsidR="00121387" w:rsidRPr="00180F6A" w:rsidRDefault="00121387" w:rsidP="00121387">
            <w:pPr>
              <w:pStyle w:val="BodyText"/>
              <w:keepNext/>
              <w:keepLines/>
              <w:rPr>
                <w:rFonts w:ascii="Arial" w:hAnsi="Arial"/>
                <w:sz w:val="20"/>
                <w:lang w:val="en-CA"/>
              </w:rPr>
            </w:pPr>
          </w:p>
        </w:tc>
        <w:tc>
          <w:tcPr>
            <w:tcW w:w="1530" w:type="dxa"/>
          </w:tcPr>
          <w:p w14:paraId="6E872749" w14:textId="3663FB9D" w:rsidR="00121387" w:rsidRPr="00923CE1" w:rsidRDefault="00121387" w:rsidP="00121387">
            <w:pPr>
              <w:pStyle w:val="BodyText"/>
              <w:keepNext/>
              <w:keepLines/>
              <w:rPr>
                <w:rFonts w:ascii="Arial" w:hAnsi="Arial"/>
                <w:sz w:val="20"/>
                <w:lang w:val="en-CA"/>
              </w:rPr>
            </w:pPr>
          </w:p>
        </w:tc>
      </w:tr>
      <w:tr w:rsidR="00121387" w14:paraId="3DA30F0A" w14:textId="77777777" w:rsidTr="00904F73">
        <w:trPr>
          <w:trHeight w:hRule="exact" w:val="712"/>
        </w:trPr>
        <w:tc>
          <w:tcPr>
            <w:tcW w:w="1440" w:type="dxa"/>
          </w:tcPr>
          <w:p w14:paraId="5C080C01" w14:textId="3046CDF7" w:rsidR="00121387" w:rsidRPr="00180F6A" w:rsidRDefault="00121387" w:rsidP="00121387">
            <w:pPr>
              <w:pStyle w:val="BodyText"/>
              <w:keepNext/>
              <w:keepLines/>
              <w:rPr>
                <w:rFonts w:ascii="Arial" w:hAnsi="Arial"/>
                <w:sz w:val="20"/>
                <w:lang w:val="en-CA"/>
              </w:rPr>
            </w:pPr>
          </w:p>
        </w:tc>
        <w:tc>
          <w:tcPr>
            <w:tcW w:w="1260" w:type="dxa"/>
          </w:tcPr>
          <w:p w14:paraId="3BC15EFA" w14:textId="72D353E8" w:rsidR="00121387" w:rsidRPr="00180F6A" w:rsidRDefault="00121387" w:rsidP="00121387">
            <w:pPr>
              <w:pStyle w:val="BodyText"/>
              <w:keepNext/>
              <w:keepLines/>
              <w:rPr>
                <w:rFonts w:ascii="Arial" w:hAnsi="Arial"/>
                <w:sz w:val="20"/>
                <w:lang w:val="en-CA"/>
              </w:rPr>
            </w:pPr>
          </w:p>
        </w:tc>
        <w:tc>
          <w:tcPr>
            <w:tcW w:w="1260" w:type="dxa"/>
          </w:tcPr>
          <w:p w14:paraId="046563C8" w14:textId="5275232D" w:rsidR="00121387" w:rsidRPr="00121387" w:rsidRDefault="00121387" w:rsidP="00121387">
            <w:pPr>
              <w:pStyle w:val="BodyText"/>
              <w:keepNext/>
              <w:keepLines/>
              <w:rPr>
                <w:rFonts w:ascii="Arial" w:hAnsi="Arial"/>
                <w:sz w:val="20"/>
                <w:lang w:val="en-CA"/>
              </w:rPr>
            </w:pPr>
          </w:p>
        </w:tc>
        <w:tc>
          <w:tcPr>
            <w:tcW w:w="1440" w:type="dxa"/>
          </w:tcPr>
          <w:p w14:paraId="40B1A3A8" w14:textId="04E14DDF" w:rsidR="00121387" w:rsidRPr="00121387" w:rsidRDefault="00121387" w:rsidP="00121387">
            <w:pPr>
              <w:pStyle w:val="BodyText"/>
              <w:keepNext/>
              <w:keepLines/>
              <w:rPr>
                <w:rFonts w:ascii="Arial" w:hAnsi="Arial"/>
                <w:sz w:val="20"/>
                <w:lang w:val="en-CA"/>
              </w:rPr>
            </w:pPr>
          </w:p>
        </w:tc>
        <w:tc>
          <w:tcPr>
            <w:tcW w:w="1440" w:type="dxa"/>
          </w:tcPr>
          <w:p w14:paraId="79E0401D" w14:textId="560E7D14" w:rsidR="00121387" w:rsidRPr="00121387" w:rsidRDefault="00121387" w:rsidP="00121387">
            <w:pPr>
              <w:pStyle w:val="BodyText"/>
              <w:keepNext/>
              <w:keepLines/>
              <w:rPr>
                <w:rFonts w:ascii="Arial" w:hAnsi="Arial"/>
                <w:sz w:val="20"/>
                <w:lang w:val="en-CA"/>
              </w:rPr>
            </w:pPr>
          </w:p>
        </w:tc>
        <w:tc>
          <w:tcPr>
            <w:tcW w:w="1620" w:type="dxa"/>
          </w:tcPr>
          <w:p w14:paraId="2B08A1CE" w14:textId="2BAE3AB2" w:rsidR="00121387" w:rsidRPr="00180F6A" w:rsidRDefault="00121387" w:rsidP="00121387">
            <w:pPr>
              <w:pStyle w:val="BodyText"/>
              <w:keepNext/>
              <w:keepLines/>
              <w:rPr>
                <w:rFonts w:ascii="Arial" w:hAnsi="Arial"/>
                <w:sz w:val="20"/>
                <w:lang w:val="en-CA"/>
              </w:rPr>
            </w:pPr>
          </w:p>
        </w:tc>
        <w:tc>
          <w:tcPr>
            <w:tcW w:w="1530" w:type="dxa"/>
          </w:tcPr>
          <w:p w14:paraId="05342CB0" w14:textId="0F6EE0AE" w:rsidR="00121387" w:rsidRPr="00923CE1" w:rsidRDefault="00121387" w:rsidP="00121387">
            <w:pPr>
              <w:pStyle w:val="BodyText"/>
              <w:keepNext/>
              <w:keepLines/>
              <w:rPr>
                <w:rFonts w:ascii="Arial" w:hAnsi="Arial"/>
                <w:sz w:val="20"/>
                <w:lang w:val="en-CA"/>
              </w:rPr>
            </w:pPr>
          </w:p>
        </w:tc>
      </w:tr>
    </w:tbl>
    <w:p w14:paraId="600DC1ED"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600DC1EF" w14:textId="3480D8F4" w:rsidR="00EA4133" w:rsidRDefault="00EA4133" w:rsidP="00FC2ED2">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sidR="00904F73">
        <w:rPr>
          <w:rFonts w:ascii="Arial" w:hAnsi="Arial" w:cs="Arial"/>
          <w:b/>
          <w:bCs/>
          <w:color w:val="000000"/>
          <w:szCs w:val="24"/>
          <w:u w:val="single"/>
        </w:rPr>
        <w:t>N/A.</w:t>
      </w:r>
    </w:p>
    <w:p w14:paraId="600DC1F0" w14:textId="274F55AC"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r w:rsidR="00904F73">
        <w:rPr>
          <w:rFonts w:ascii="Arial" w:hAnsi="Arial"/>
        </w:rPr>
        <w:t xml:space="preserve"> </w:t>
      </w:r>
      <w:r w:rsidR="00904F73">
        <w:rPr>
          <w:rFonts w:ascii="Arial" w:hAnsi="Arial" w:cs="Arial"/>
          <w:b/>
          <w:bCs/>
          <w:color w:val="000000"/>
          <w:szCs w:val="24"/>
          <w:u w:val="single"/>
        </w:rPr>
        <w:t>N/A.</w:t>
      </w:r>
    </w:p>
    <w:p w14:paraId="600DC1F1" w14:textId="5EA6D997" w:rsidR="00EA4133" w:rsidRPr="00663221"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19271C">
        <w:rPr>
          <w:rFonts w:ascii="Arial" w:hAnsi="Arial"/>
        </w:rPr>
        <w:t xml:space="preserve"> </w:t>
      </w:r>
      <w:r w:rsidR="007C4F86">
        <w:rPr>
          <w:rFonts w:ascii="Arial" w:hAnsi="Arial"/>
        </w:rPr>
        <w:t>i</w:t>
      </w:r>
      <w:r>
        <w:rPr>
          <w:rFonts w:ascii="Arial" w:hAnsi="Arial"/>
        </w:rPr>
        <w:t>f a corporation, identify persons owning or exercising voting control over 20% or more of the voting shares if known to the Issuer</w:t>
      </w:r>
      <w:r w:rsidRPr="00663221">
        <w:rPr>
          <w:rFonts w:ascii="Arial" w:hAnsi="Arial"/>
        </w:rPr>
        <w:t xml:space="preserve">): </w:t>
      </w:r>
    </w:p>
    <w:p w14:paraId="600DC1F2" w14:textId="77777777" w:rsidR="00EA4133" w:rsidRDefault="00EA4133">
      <w:pPr>
        <w:pStyle w:val="List"/>
        <w:tabs>
          <w:tab w:val="left" w:pos="2160"/>
          <w:tab w:val="left" w:pos="9180"/>
        </w:tabs>
        <w:ind w:left="2160"/>
        <w:rPr>
          <w:rFonts w:ascii="Arial" w:hAnsi="Arial"/>
        </w:rPr>
      </w:pPr>
      <w:r w:rsidRPr="00663221">
        <w:rPr>
          <w:rFonts w:ascii="Arial" w:hAnsi="Arial"/>
        </w:rPr>
        <w:t>(b)</w:t>
      </w:r>
      <w:r w:rsidRPr="00663221">
        <w:rPr>
          <w:rFonts w:ascii="Arial" w:hAnsi="Arial"/>
        </w:rPr>
        <w:tab/>
        <w:t xml:space="preserve">Cash </w:t>
      </w:r>
      <w:r w:rsidRPr="00663221">
        <w:rPr>
          <w:rFonts w:ascii="Arial" w:hAnsi="Arial"/>
          <w:u w:val="single"/>
        </w:rPr>
        <w:tab/>
      </w:r>
      <w:r w:rsidRPr="00663221">
        <w:rPr>
          <w:rFonts w:ascii="Arial" w:hAnsi="Arial"/>
        </w:rPr>
        <w:t xml:space="preserve"> .</w:t>
      </w:r>
    </w:p>
    <w:p w14:paraId="600DC1F3"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600DC1F4"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600DC1F5"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600DC1F6"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600DC1F7" w14:textId="77777777" w:rsidR="00CF2A90" w:rsidRDefault="00CF2A90" w:rsidP="00CF2A90">
      <w:pPr>
        <w:pStyle w:val="List"/>
        <w:tabs>
          <w:tab w:val="left" w:pos="9180"/>
        </w:tabs>
        <w:ind w:left="0" w:firstLine="0"/>
        <w:rPr>
          <w:rFonts w:ascii="Arial" w:hAnsi="Arial"/>
          <w:color w:val="000000"/>
        </w:rPr>
      </w:pPr>
    </w:p>
    <w:p w14:paraId="600DC1F8" w14:textId="0C2E92E0"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904F73">
        <w:rPr>
          <w:rFonts w:ascii="Arial" w:hAnsi="Arial" w:cs="Arial"/>
          <w:b/>
          <w:bCs/>
          <w:color w:val="000000"/>
          <w:szCs w:val="24"/>
          <w:u w:val="single"/>
        </w:rPr>
        <w:t>N/A.</w:t>
      </w:r>
    </w:p>
    <w:p w14:paraId="0D519887" w14:textId="77777777" w:rsidR="00904F73" w:rsidRPr="00904F73" w:rsidRDefault="00EA4133" w:rsidP="00904F73">
      <w:pPr>
        <w:pStyle w:val="List"/>
        <w:numPr>
          <w:ilvl w:val="0"/>
          <w:numId w:val="16"/>
        </w:numPr>
        <w:tabs>
          <w:tab w:val="left" w:pos="9180"/>
        </w:tabs>
        <w:jc w:val="both"/>
        <w:rPr>
          <w:rFonts w:ascii="Arial" w:hAnsi="Arial"/>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904F73">
        <w:rPr>
          <w:rFonts w:ascii="Arial" w:hAnsi="Arial" w:cs="Arial"/>
          <w:b/>
          <w:bCs/>
          <w:color w:val="000000"/>
          <w:szCs w:val="24"/>
          <w:u w:val="single"/>
        </w:rPr>
        <w:t>N/A.</w:t>
      </w:r>
    </w:p>
    <w:p w14:paraId="600DC1FC" w14:textId="5E15EA81" w:rsidR="00EA4133" w:rsidRDefault="00EA4133" w:rsidP="00904F73">
      <w:pPr>
        <w:pStyle w:val="List"/>
        <w:tabs>
          <w:tab w:val="left" w:pos="9180"/>
        </w:tabs>
        <w:ind w:left="0" w:firstLine="0"/>
        <w:jc w:val="both"/>
        <w:rPr>
          <w:rFonts w:ascii="Arial" w:hAnsi="Arial"/>
        </w:rPr>
      </w:pPr>
      <w:r>
        <w:rPr>
          <w:rFonts w:ascii="Arial" w:hAnsi="Arial"/>
          <w:b/>
        </w:rPr>
        <w:lastRenderedPageBreak/>
        <w:t>Certificate Of Compliance</w:t>
      </w:r>
    </w:p>
    <w:p w14:paraId="600DC1FD" w14:textId="77777777" w:rsidR="00EA4133" w:rsidRDefault="00EA4133">
      <w:pPr>
        <w:pStyle w:val="BodyText"/>
        <w:rPr>
          <w:rFonts w:ascii="Arial" w:hAnsi="Arial"/>
        </w:rPr>
      </w:pPr>
      <w:r>
        <w:rPr>
          <w:rFonts w:ascii="Arial" w:hAnsi="Arial"/>
        </w:rPr>
        <w:t>The undersigned hereby certifies that:</w:t>
      </w:r>
    </w:p>
    <w:p w14:paraId="600DC1FE"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00DC1FF"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386F100B" w14:textId="77777777" w:rsidR="004C09CC" w:rsidRDefault="004C09CC" w:rsidP="004C09CC">
      <w:pPr>
        <w:pStyle w:val="ListParagraph"/>
        <w:ind w:left="1080"/>
        <w:rPr>
          <w:rFonts w:ascii="Arial" w:hAnsi="Arial" w:cs="Arial"/>
          <w:sz w:val="24"/>
          <w:szCs w:val="24"/>
        </w:rPr>
      </w:pPr>
    </w:p>
    <w:p w14:paraId="600DC201" w14:textId="716E884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00DC202" w14:textId="77777777" w:rsidR="00C500F0" w:rsidRPr="00C500F0" w:rsidRDefault="00C500F0" w:rsidP="00C500F0">
      <w:pPr>
        <w:pStyle w:val="ListParagraph"/>
        <w:rPr>
          <w:rFonts w:ascii="Arial" w:hAnsi="Arial" w:cs="Arial"/>
          <w:sz w:val="24"/>
          <w:szCs w:val="24"/>
        </w:rPr>
      </w:pPr>
    </w:p>
    <w:p w14:paraId="600DC203"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600DC204"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600DC205"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600DC206"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00DC207" w14:textId="2AC93CE4"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B0565">
        <w:rPr>
          <w:rFonts w:ascii="Arial" w:hAnsi="Arial"/>
          <w:b/>
          <w:bCs/>
          <w:u w:val="single"/>
        </w:rPr>
        <w:t>April 2</w:t>
      </w:r>
      <w:r w:rsidR="00904F73">
        <w:rPr>
          <w:rFonts w:ascii="Arial" w:hAnsi="Arial"/>
          <w:b/>
          <w:bCs/>
          <w:u w:val="single"/>
        </w:rPr>
        <w:t>6</w:t>
      </w:r>
      <w:r w:rsidR="00CB0565">
        <w:rPr>
          <w:rFonts w:ascii="Arial" w:hAnsi="Arial"/>
          <w:b/>
          <w:bCs/>
          <w:u w:val="single"/>
        </w:rPr>
        <w:t>, 202</w:t>
      </w:r>
      <w:r w:rsidR="00AF112D">
        <w:rPr>
          <w:rFonts w:ascii="Arial" w:hAnsi="Arial"/>
          <w:b/>
          <w:bCs/>
          <w:u w:val="single"/>
        </w:rPr>
        <w:t>4</w:t>
      </w:r>
      <w:r>
        <w:rPr>
          <w:rFonts w:ascii="Arial" w:hAnsi="Arial"/>
        </w:rPr>
        <w:t>.</w:t>
      </w:r>
    </w:p>
    <w:p w14:paraId="600DC208" w14:textId="7D59C5F4" w:rsidR="00EA4133" w:rsidRDefault="00EA4133">
      <w:pPr>
        <w:pStyle w:val="List"/>
        <w:tabs>
          <w:tab w:val="left" w:pos="9180"/>
        </w:tabs>
        <w:ind w:left="5760" w:hanging="5760"/>
        <w:rPr>
          <w:rFonts w:ascii="Arial" w:hAnsi="Arial"/>
        </w:rPr>
      </w:pPr>
      <w:r>
        <w:rPr>
          <w:rFonts w:ascii="Arial" w:hAnsi="Arial"/>
        </w:rPr>
        <w:tab/>
      </w:r>
      <w:r w:rsidR="00904F73">
        <w:rPr>
          <w:rFonts w:ascii="Arial" w:hAnsi="Arial"/>
          <w:u w:val="single"/>
        </w:rPr>
        <w:t>Douglas Smith</w:t>
      </w:r>
      <w:r>
        <w:rPr>
          <w:rFonts w:ascii="Arial" w:hAnsi="Arial"/>
          <w:u w:val="single"/>
        </w:rPr>
        <w:tab/>
      </w:r>
      <w:r>
        <w:rPr>
          <w:rFonts w:ascii="Arial" w:hAnsi="Arial"/>
          <w:u w:val="single"/>
        </w:rPr>
        <w:br/>
      </w:r>
      <w:r>
        <w:rPr>
          <w:rFonts w:ascii="Arial" w:hAnsi="Arial"/>
        </w:rPr>
        <w:t>Name of Director or Senior Officer</w:t>
      </w:r>
    </w:p>
    <w:p w14:paraId="600DC209" w14:textId="0DA6BE41" w:rsidR="00EA4133" w:rsidRDefault="00EA4133">
      <w:pPr>
        <w:pStyle w:val="List"/>
        <w:tabs>
          <w:tab w:val="left" w:pos="9180"/>
          <w:tab w:val="left" w:pos="9360"/>
        </w:tabs>
        <w:ind w:left="5760" w:hanging="5760"/>
        <w:rPr>
          <w:rFonts w:ascii="Arial" w:hAnsi="Arial"/>
        </w:rPr>
      </w:pPr>
      <w:r>
        <w:rPr>
          <w:rFonts w:ascii="Arial" w:hAnsi="Arial"/>
        </w:rPr>
        <w:tab/>
      </w:r>
      <w:r w:rsidR="008D0DC0">
        <w:rPr>
          <w:rFonts w:ascii="Arial" w:hAnsi="Arial"/>
          <w:i/>
          <w:iCs/>
          <w:u w:val="single"/>
        </w:rPr>
        <w:t xml:space="preserve">/s/ </w:t>
      </w:r>
      <w:r w:rsidR="00904F73">
        <w:rPr>
          <w:rFonts w:ascii="Arial" w:hAnsi="Arial"/>
          <w:i/>
          <w:iCs/>
          <w:u w:val="single"/>
        </w:rPr>
        <w:t>Douglas Smith</w:t>
      </w:r>
      <w:r>
        <w:rPr>
          <w:rFonts w:ascii="Arial" w:hAnsi="Arial"/>
          <w:u w:val="single"/>
        </w:rPr>
        <w:tab/>
      </w:r>
      <w:r>
        <w:rPr>
          <w:rFonts w:ascii="Arial" w:hAnsi="Arial"/>
        </w:rPr>
        <w:br/>
        <w:t>Signature</w:t>
      </w:r>
    </w:p>
    <w:p w14:paraId="600DC20A" w14:textId="50DD7B0F" w:rsidR="00EA4133" w:rsidRDefault="00EA4133">
      <w:pPr>
        <w:pStyle w:val="List"/>
        <w:tabs>
          <w:tab w:val="left" w:pos="9180"/>
          <w:tab w:val="left" w:pos="9360"/>
        </w:tabs>
        <w:ind w:left="5760" w:hanging="5760"/>
        <w:rPr>
          <w:rFonts w:ascii="Arial" w:hAnsi="Arial"/>
        </w:rPr>
      </w:pPr>
      <w:r>
        <w:rPr>
          <w:rFonts w:ascii="Arial" w:hAnsi="Arial"/>
        </w:rPr>
        <w:tab/>
      </w:r>
      <w:r w:rsidR="00343354">
        <w:rPr>
          <w:rFonts w:ascii="Arial" w:hAnsi="Arial"/>
          <w:u w:val="single"/>
        </w:rPr>
        <w:t>Chief Financial Officer</w:t>
      </w:r>
      <w:r>
        <w:rPr>
          <w:rFonts w:ascii="Arial" w:hAnsi="Arial"/>
          <w:u w:val="single"/>
        </w:rPr>
        <w:tab/>
      </w:r>
      <w:r>
        <w:rPr>
          <w:rFonts w:ascii="Arial" w:hAnsi="Arial"/>
        </w:rPr>
        <w:br/>
        <w:t>Official Capacity</w:t>
      </w:r>
    </w:p>
    <w:p w14:paraId="600DC20B" w14:textId="77777777" w:rsidR="00C500F0" w:rsidRDefault="00C500F0">
      <w:pPr>
        <w:pStyle w:val="List"/>
        <w:tabs>
          <w:tab w:val="left" w:pos="9180"/>
          <w:tab w:val="left" w:pos="9360"/>
        </w:tabs>
        <w:ind w:left="5760" w:hanging="5760"/>
        <w:rPr>
          <w:rFonts w:ascii="Arial" w:hAnsi="Arial"/>
        </w:rPr>
      </w:pPr>
    </w:p>
    <w:p w14:paraId="600DC20C" w14:textId="075A832D" w:rsidR="00C500F0" w:rsidRDefault="00C500F0">
      <w:pPr>
        <w:pStyle w:val="List"/>
        <w:tabs>
          <w:tab w:val="left" w:pos="9180"/>
          <w:tab w:val="left" w:pos="9360"/>
        </w:tabs>
        <w:ind w:left="5760" w:hanging="5760"/>
        <w:rPr>
          <w:rFonts w:ascii="Arial" w:hAnsi="Arial"/>
        </w:rPr>
      </w:pPr>
    </w:p>
    <w:p w14:paraId="3666FEA2" w14:textId="7B47D12D" w:rsidR="00744ACE" w:rsidRDefault="00744ACE">
      <w:pPr>
        <w:pStyle w:val="List"/>
        <w:tabs>
          <w:tab w:val="left" w:pos="9180"/>
          <w:tab w:val="left" w:pos="9360"/>
        </w:tabs>
        <w:ind w:left="5760" w:hanging="5760"/>
        <w:rPr>
          <w:rFonts w:ascii="Arial" w:hAnsi="Arial"/>
        </w:rPr>
      </w:pPr>
    </w:p>
    <w:p w14:paraId="0D30B5AB" w14:textId="77777777" w:rsidR="00FD1D88" w:rsidRDefault="00FD1D88">
      <w:pPr>
        <w:pStyle w:val="List"/>
        <w:tabs>
          <w:tab w:val="left" w:pos="9180"/>
          <w:tab w:val="left" w:pos="9360"/>
        </w:tabs>
        <w:ind w:left="5760" w:hanging="5760"/>
        <w:rPr>
          <w:rFonts w:ascii="Arial" w:hAnsi="Arial"/>
        </w:rPr>
      </w:pPr>
    </w:p>
    <w:p w14:paraId="600DC20D"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600DC20E"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00DC20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600DC21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600DC21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600DC21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600DC21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600DC21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600DC21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600DC21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600DC21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00DC21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00DC21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600DC21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600DC21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600DC21C"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6D730B">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815F" w14:textId="77777777" w:rsidR="006D730B" w:rsidRDefault="006D730B">
      <w:r>
        <w:separator/>
      </w:r>
    </w:p>
  </w:endnote>
  <w:endnote w:type="continuationSeparator" w:id="0">
    <w:p w14:paraId="194E784A" w14:textId="77777777" w:rsidR="006D730B" w:rsidRDefault="006D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C221" w14:textId="77777777" w:rsidR="00EA4133" w:rsidRDefault="00000000" w:rsidP="008003B9">
    <w:pPr>
      <w:tabs>
        <w:tab w:val="center" w:pos="4674"/>
        <w:tab w:val="left" w:pos="8460"/>
      </w:tabs>
      <w:jc w:val="center"/>
      <w:rPr>
        <w:rStyle w:val="PageNumber"/>
        <w:rFonts w:ascii="Arial" w:hAnsi="Arial" w:cs="Arial"/>
        <w:b/>
      </w:rPr>
    </w:pPr>
    <w:r>
      <w:rPr>
        <w:b/>
        <w:noProof/>
        <w:lang w:val="en-CA" w:eastAsia="en-CA"/>
      </w:rPr>
      <w:pict w14:anchorId="600DC226">
        <v:line id="Line 3" o:spid="_x0000_s1025"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600DC222"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600DC223"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600DC224"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C225" w14:textId="23A8D336" w:rsidR="00EA4133" w:rsidRDefault="00000000">
    <w:pPr>
      <w:pStyle w:val="Footer"/>
    </w:pPr>
    <w:fldSimple w:instr=" DOCPROPERTY FOOTERPATH \* MERGEFORMAT ">
      <w:r w:rsidR="00904F73">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11F1" w14:textId="77777777" w:rsidR="006D730B" w:rsidRDefault="006D730B">
      <w:r>
        <w:separator/>
      </w:r>
    </w:p>
  </w:footnote>
  <w:footnote w:type="continuationSeparator" w:id="0">
    <w:p w14:paraId="18A817EA" w14:textId="77777777" w:rsidR="006D730B" w:rsidRDefault="006D7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6AB"/>
    <w:multiLevelType w:val="hybridMultilevel"/>
    <w:tmpl w:val="BE3C9166"/>
    <w:lvl w:ilvl="0" w:tplc="7B84180A">
      <w:numFmt w:val="bullet"/>
      <w:lvlText w:val=""/>
      <w:lvlJc w:val="left"/>
      <w:pPr>
        <w:ind w:left="810" w:hanging="360"/>
      </w:pPr>
      <w:rPr>
        <w:rFonts w:ascii="Symbol" w:eastAsia="Times New Roman" w:hAnsi="Symbol" w:cs="Times New Roman" w:hint="default"/>
        <w:b w:val="0"/>
        <w:u w:val="none"/>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97A361F"/>
    <w:multiLevelType w:val="hybridMultilevel"/>
    <w:tmpl w:val="99085C52"/>
    <w:lvl w:ilvl="0" w:tplc="3ABCCA9A">
      <w:start w:val="1"/>
      <w:numFmt w:val="lowerLetter"/>
      <w:lvlText w:val="(%1)"/>
      <w:lvlJc w:val="left"/>
      <w:pPr>
        <w:ind w:left="720" w:hanging="360"/>
      </w:pPr>
      <w:rPr>
        <w:rFonts w:hint="default"/>
        <w:spacing w:val="-1"/>
        <w:w w:val="108"/>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5" w15:restartNumberingAfterBreak="0">
    <w:nsid w:val="29655154"/>
    <w:multiLevelType w:val="singleLevel"/>
    <w:tmpl w:val="E1BEFB0E"/>
    <w:lvl w:ilvl="0">
      <w:start w:val="1"/>
      <w:numFmt w:val="lowerLetter"/>
      <w:lvlText w:val="(%1)"/>
      <w:lvlJc w:val="left"/>
      <w:pPr>
        <w:tabs>
          <w:tab w:val="num" w:pos="2160"/>
        </w:tabs>
        <w:ind w:left="2160" w:hanging="1080"/>
      </w:pPr>
      <w:rPr>
        <w:rFonts w:hint="default"/>
        <w:b w:val="0"/>
        <w:bCs w:val="0"/>
      </w:rPr>
    </w:lvl>
  </w:abstractNum>
  <w:abstractNum w:abstractNumId="6" w15:restartNumberingAfterBreak="0">
    <w:nsid w:val="2CC81F21"/>
    <w:multiLevelType w:val="singleLevel"/>
    <w:tmpl w:val="12B4C3D4"/>
    <w:lvl w:ilvl="0">
      <w:start w:val="3"/>
      <w:numFmt w:val="decimal"/>
      <w:lvlText w:val="%1."/>
      <w:lvlJc w:val="left"/>
      <w:pPr>
        <w:tabs>
          <w:tab w:val="num" w:pos="1080"/>
        </w:tabs>
        <w:ind w:left="1080" w:hanging="1080"/>
      </w:pPr>
      <w:rPr>
        <w:rFonts w:hint="default"/>
        <w:b w:val="0"/>
        <w:bCs/>
        <w:u w:val="none"/>
      </w:rPr>
    </w:lvl>
  </w:abstractNum>
  <w:abstractNum w:abstractNumId="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8"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4CF050A0"/>
    <w:multiLevelType w:val="hybridMultilevel"/>
    <w:tmpl w:val="DD823F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932F2D"/>
    <w:multiLevelType w:val="singleLevel"/>
    <w:tmpl w:val="FAAAF094"/>
    <w:lvl w:ilvl="0">
      <w:start w:val="1"/>
      <w:numFmt w:val="decimal"/>
      <w:lvlText w:val="%1."/>
      <w:lvlJc w:val="left"/>
      <w:pPr>
        <w:tabs>
          <w:tab w:val="num" w:pos="360"/>
        </w:tabs>
        <w:ind w:left="360" w:hanging="360"/>
      </w:pPr>
      <w:rPr>
        <w:b w:val="0"/>
        <w:bCs w:val="0"/>
        <w:color w:val="auto"/>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8"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196E4E"/>
    <w:multiLevelType w:val="hybridMultilevel"/>
    <w:tmpl w:val="3F761830"/>
    <w:lvl w:ilvl="0" w:tplc="5DB41A98">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286593830">
    <w:abstractNumId w:val="4"/>
  </w:num>
  <w:num w:numId="2" w16cid:durableId="1980457258">
    <w:abstractNumId w:val="15"/>
  </w:num>
  <w:num w:numId="3" w16cid:durableId="1432819664">
    <w:abstractNumId w:val="12"/>
  </w:num>
  <w:num w:numId="4" w16cid:durableId="1973827528">
    <w:abstractNumId w:val="16"/>
  </w:num>
  <w:num w:numId="5" w16cid:durableId="1739160508">
    <w:abstractNumId w:val="14"/>
  </w:num>
  <w:num w:numId="6" w16cid:durableId="1056004445">
    <w:abstractNumId w:val="1"/>
  </w:num>
  <w:num w:numId="7" w16cid:durableId="120390316">
    <w:abstractNumId w:val="13"/>
  </w:num>
  <w:num w:numId="8" w16cid:durableId="1378896858">
    <w:abstractNumId w:val="7"/>
  </w:num>
  <w:num w:numId="9" w16cid:durableId="1721005464">
    <w:abstractNumId w:val="9"/>
  </w:num>
  <w:num w:numId="10" w16cid:durableId="1560939808">
    <w:abstractNumId w:val="6"/>
  </w:num>
  <w:num w:numId="11" w16cid:durableId="1364013449">
    <w:abstractNumId w:val="17"/>
  </w:num>
  <w:num w:numId="12" w16cid:durableId="999845808">
    <w:abstractNumId w:val="20"/>
  </w:num>
  <w:num w:numId="13" w16cid:durableId="1039816639">
    <w:abstractNumId w:val="5"/>
  </w:num>
  <w:num w:numId="14" w16cid:durableId="130950965">
    <w:abstractNumId w:val="11"/>
  </w:num>
  <w:num w:numId="15" w16cid:durableId="683674637">
    <w:abstractNumId w:val="2"/>
  </w:num>
  <w:num w:numId="16" w16cid:durableId="979187900">
    <w:abstractNumId w:val="18"/>
  </w:num>
  <w:num w:numId="17" w16cid:durableId="995496130">
    <w:abstractNumId w:val="8"/>
  </w:num>
  <w:num w:numId="18" w16cid:durableId="1760132342">
    <w:abstractNumId w:val="19"/>
  </w:num>
  <w:num w:numId="19" w16cid:durableId="608665283">
    <w:abstractNumId w:val="13"/>
    <w:lvlOverride w:ilvl="0">
      <w:startOverride w:val="2"/>
    </w:lvlOverride>
  </w:num>
  <w:num w:numId="20" w16cid:durableId="2095205041">
    <w:abstractNumId w:val="3"/>
  </w:num>
  <w:num w:numId="21" w16cid:durableId="340282939">
    <w:abstractNumId w:val="10"/>
  </w:num>
  <w:num w:numId="22" w16cid:durableId="73131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84B28"/>
    <w:rsid w:val="000906F4"/>
    <w:rsid w:val="000B0177"/>
    <w:rsid w:val="000B64EF"/>
    <w:rsid w:val="000C25DE"/>
    <w:rsid w:val="000C7CEC"/>
    <w:rsid w:val="000E646A"/>
    <w:rsid w:val="00116314"/>
    <w:rsid w:val="001208B9"/>
    <w:rsid w:val="00121387"/>
    <w:rsid w:val="00122D6D"/>
    <w:rsid w:val="00150356"/>
    <w:rsid w:val="00173F0B"/>
    <w:rsid w:val="00180F6A"/>
    <w:rsid w:val="00186DA5"/>
    <w:rsid w:val="0019271C"/>
    <w:rsid w:val="00193355"/>
    <w:rsid w:val="001A0F13"/>
    <w:rsid w:val="002009C3"/>
    <w:rsid w:val="002328CD"/>
    <w:rsid w:val="002557FD"/>
    <w:rsid w:val="002560F1"/>
    <w:rsid w:val="002A1DD0"/>
    <w:rsid w:val="002D55A2"/>
    <w:rsid w:val="002E3AAF"/>
    <w:rsid w:val="002F0416"/>
    <w:rsid w:val="00305EB6"/>
    <w:rsid w:val="003159CB"/>
    <w:rsid w:val="00325C64"/>
    <w:rsid w:val="00326B25"/>
    <w:rsid w:val="00326D55"/>
    <w:rsid w:val="003431FD"/>
    <w:rsid w:val="00343354"/>
    <w:rsid w:val="0035331C"/>
    <w:rsid w:val="00367B01"/>
    <w:rsid w:val="003A516B"/>
    <w:rsid w:val="003C0481"/>
    <w:rsid w:val="003C6D7E"/>
    <w:rsid w:val="003F5056"/>
    <w:rsid w:val="00405493"/>
    <w:rsid w:val="004520A4"/>
    <w:rsid w:val="004520EF"/>
    <w:rsid w:val="00456624"/>
    <w:rsid w:val="0047224D"/>
    <w:rsid w:val="004A1403"/>
    <w:rsid w:val="004B214D"/>
    <w:rsid w:val="004C09CC"/>
    <w:rsid w:val="00506EB0"/>
    <w:rsid w:val="00525E4C"/>
    <w:rsid w:val="00540B52"/>
    <w:rsid w:val="00544BCF"/>
    <w:rsid w:val="005503B2"/>
    <w:rsid w:val="006003CB"/>
    <w:rsid w:val="00617A0E"/>
    <w:rsid w:val="0062717F"/>
    <w:rsid w:val="0063007E"/>
    <w:rsid w:val="00663221"/>
    <w:rsid w:val="00676E43"/>
    <w:rsid w:val="006D730B"/>
    <w:rsid w:val="006E180A"/>
    <w:rsid w:val="00710F7C"/>
    <w:rsid w:val="0071298D"/>
    <w:rsid w:val="00742901"/>
    <w:rsid w:val="00744ACE"/>
    <w:rsid w:val="007568B3"/>
    <w:rsid w:val="007B0425"/>
    <w:rsid w:val="007C1EE2"/>
    <w:rsid w:val="007C4F86"/>
    <w:rsid w:val="007F401F"/>
    <w:rsid w:val="008003B9"/>
    <w:rsid w:val="00813F2B"/>
    <w:rsid w:val="00831044"/>
    <w:rsid w:val="00840B45"/>
    <w:rsid w:val="008536E3"/>
    <w:rsid w:val="008557F7"/>
    <w:rsid w:val="008736CB"/>
    <w:rsid w:val="008D0DC0"/>
    <w:rsid w:val="008D3174"/>
    <w:rsid w:val="008F27FF"/>
    <w:rsid w:val="00902DD8"/>
    <w:rsid w:val="00904F73"/>
    <w:rsid w:val="009136E7"/>
    <w:rsid w:val="00913800"/>
    <w:rsid w:val="00923CE1"/>
    <w:rsid w:val="009249CB"/>
    <w:rsid w:val="0094183A"/>
    <w:rsid w:val="009449C4"/>
    <w:rsid w:val="009466F0"/>
    <w:rsid w:val="0096348F"/>
    <w:rsid w:val="0097763E"/>
    <w:rsid w:val="009B289F"/>
    <w:rsid w:val="009C1EC2"/>
    <w:rsid w:val="009F0536"/>
    <w:rsid w:val="009F20C0"/>
    <w:rsid w:val="00A00C54"/>
    <w:rsid w:val="00A10285"/>
    <w:rsid w:val="00A309D1"/>
    <w:rsid w:val="00A42A22"/>
    <w:rsid w:val="00A647E2"/>
    <w:rsid w:val="00A72E56"/>
    <w:rsid w:val="00A81F68"/>
    <w:rsid w:val="00A90670"/>
    <w:rsid w:val="00A93530"/>
    <w:rsid w:val="00A9392C"/>
    <w:rsid w:val="00A979F2"/>
    <w:rsid w:val="00AC0C68"/>
    <w:rsid w:val="00AC6DD0"/>
    <w:rsid w:val="00AF112D"/>
    <w:rsid w:val="00AF213B"/>
    <w:rsid w:val="00AF2DD4"/>
    <w:rsid w:val="00B0259E"/>
    <w:rsid w:val="00B215E4"/>
    <w:rsid w:val="00B23BC9"/>
    <w:rsid w:val="00B923F6"/>
    <w:rsid w:val="00B9446C"/>
    <w:rsid w:val="00BA472D"/>
    <w:rsid w:val="00BE2894"/>
    <w:rsid w:val="00C10A32"/>
    <w:rsid w:val="00C24E00"/>
    <w:rsid w:val="00C4451A"/>
    <w:rsid w:val="00C500F0"/>
    <w:rsid w:val="00C51EAE"/>
    <w:rsid w:val="00C536D3"/>
    <w:rsid w:val="00C74E32"/>
    <w:rsid w:val="00CB0565"/>
    <w:rsid w:val="00CC2519"/>
    <w:rsid w:val="00CE6E86"/>
    <w:rsid w:val="00CF076A"/>
    <w:rsid w:val="00CF2A90"/>
    <w:rsid w:val="00CF5580"/>
    <w:rsid w:val="00CF72A4"/>
    <w:rsid w:val="00D00805"/>
    <w:rsid w:val="00D71240"/>
    <w:rsid w:val="00DA4892"/>
    <w:rsid w:val="00DA6830"/>
    <w:rsid w:val="00DB52A1"/>
    <w:rsid w:val="00DB640C"/>
    <w:rsid w:val="00DD27BE"/>
    <w:rsid w:val="00DD4260"/>
    <w:rsid w:val="00DE4A36"/>
    <w:rsid w:val="00E208B4"/>
    <w:rsid w:val="00E55E58"/>
    <w:rsid w:val="00E83A64"/>
    <w:rsid w:val="00E97C13"/>
    <w:rsid w:val="00EA4133"/>
    <w:rsid w:val="00EC6BF0"/>
    <w:rsid w:val="00ED6345"/>
    <w:rsid w:val="00EE7870"/>
    <w:rsid w:val="00F02AE1"/>
    <w:rsid w:val="00F1491D"/>
    <w:rsid w:val="00F23DF8"/>
    <w:rsid w:val="00F33BBE"/>
    <w:rsid w:val="00F82528"/>
    <w:rsid w:val="00FC2ED2"/>
    <w:rsid w:val="00FC3775"/>
    <w:rsid w:val="00FC63F2"/>
    <w:rsid w:val="00FD1D88"/>
    <w:rsid w:val="00FF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DC127"/>
  <w15:docId w15:val="{8978B1EF-F4A7-48B6-A796-9D74FE4A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styleId="CommentReference">
    <w:name w:val="annotation reference"/>
    <w:basedOn w:val="DefaultParagraphFont"/>
    <w:uiPriority w:val="99"/>
    <w:semiHidden/>
    <w:unhideWhenUsed/>
    <w:rsid w:val="00405493"/>
    <w:rPr>
      <w:sz w:val="16"/>
      <w:szCs w:val="16"/>
    </w:rPr>
  </w:style>
  <w:style w:type="paragraph" w:styleId="CommentText">
    <w:name w:val="annotation text"/>
    <w:basedOn w:val="Normal"/>
    <w:link w:val="CommentTextChar"/>
    <w:uiPriority w:val="99"/>
    <w:unhideWhenUsed/>
    <w:rsid w:val="00405493"/>
  </w:style>
  <w:style w:type="character" w:customStyle="1" w:styleId="CommentTextChar">
    <w:name w:val="Comment Text Char"/>
    <w:basedOn w:val="DefaultParagraphFont"/>
    <w:link w:val="CommentText"/>
    <w:uiPriority w:val="99"/>
    <w:rsid w:val="00405493"/>
  </w:style>
  <w:style w:type="paragraph" w:styleId="CommentSubject">
    <w:name w:val="annotation subject"/>
    <w:basedOn w:val="CommentText"/>
    <w:next w:val="CommentText"/>
    <w:link w:val="CommentSubjectChar"/>
    <w:uiPriority w:val="99"/>
    <w:semiHidden/>
    <w:unhideWhenUsed/>
    <w:rsid w:val="00405493"/>
    <w:rPr>
      <w:b/>
      <w:bCs/>
    </w:rPr>
  </w:style>
  <w:style w:type="character" w:customStyle="1" w:styleId="CommentSubjectChar">
    <w:name w:val="Comment Subject Char"/>
    <w:basedOn w:val="CommentTextChar"/>
    <w:link w:val="CommentSubject"/>
    <w:uiPriority w:val="99"/>
    <w:semiHidden/>
    <w:rsid w:val="00405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8</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Daniel Deutsch</cp:lastModifiedBy>
  <cp:revision>83</cp:revision>
  <cp:lastPrinted>2024-04-25T15:35:00Z</cp:lastPrinted>
  <dcterms:created xsi:type="dcterms:W3CDTF">2018-12-23T13:27:00Z</dcterms:created>
  <dcterms:modified xsi:type="dcterms:W3CDTF">2024-04-26T19:38:00Z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